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F196" w14:textId="0AB8F3CD" w:rsidR="003906CD" w:rsidRPr="006534B3" w:rsidRDefault="003906CD" w:rsidP="003906CD">
      <w:pPr>
        <w:spacing w:after="0" w:line="360" w:lineRule="auto"/>
        <w:rPr>
          <w:rFonts w:asciiTheme="majorBidi" w:hAnsiTheme="majorBidi" w:cstheme="majorBidi"/>
          <w:sz w:val="24"/>
          <w:szCs w:val="24"/>
          <w:rtl/>
        </w:rPr>
      </w:pPr>
      <w:r w:rsidRPr="006534B3">
        <w:rPr>
          <w:rFonts w:asciiTheme="majorBidi" w:hAnsiTheme="majorBidi" w:cstheme="majorBidi"/>
          <w:sz w:val="24"/>
          <w:szCs w:val="24"/>
          <w:rtl/>
        </w:rPr>
        <w:t xml:space="preserve">  מסכת תענית דף יא עמוד א</w:t>
      </w:r>
    </w:p>
    <w:p w14:paraId="17A76679" w14:textId="2AF1AEAD" w:rsidR="00A82CF4" w:rsidRPr="006534B3" w:rsidRDefault="003906CD" w:rsidP="003906CD">
      <w:pPr>
        <w:spacing w:after="0" w:line="360" w:lineRule="auto"/>
        <w:rPr>
          <w:rFonts w:asciiTheme="majorBidi" w:hAnsiTheme="majorBidi" w:cstheme="majorBidi"/>
          <w:sz w:val="24"/>
          <w:szCs w:val="24"/>
          <w:rtl/>
        </w:rPr>
      </w:pPr>
      <w:r w:rsidRPr="006534B3">
        <w:rPr>
          <w:rFonts w:asciiTheme="majorBidi" w:hAnsiTheme="majorBidi" w:cstheme="majorBidi"/>
          <w:sz w:val="24"/>
          <w:szCs w:val="24"/>
          <w:rtl/>
        </w:rPr>
        <w:t>אמר ריש לקיש: אסור לאדם לשמש מטתו בשני רעבון, שנאמר וליוסף ילד שני בנים בטרם תבוא שנת הרעב. תנא: חסוכי בנים משמשין מטותיהן בשני רעבון.</w:t>
      </w:r>
    </w:p>
    <w:p w14:paraId="14C6F0B3" w14:textId="2896B5F5" w:rsidR="003906CD" w:rsidRPr="006534B3" w:rsidRDefault="00053E9D" w:rsidP="00053E9D">
      <w:pPr>
        <w:spacing w:after="0" w:line="360" w:lineRule="auto"/>
        <w:jc w:val="center"/>
        <w:rPr>
          <w:rFonts w:asciiTheme="majorBidi" w:hAnsiTheme="majorBidi" w:cstheme="majorBidi"/>
          <w:b/>
          <w:bCs/>
          <w:sz w:val="28"/>
          <w:szCs w:val="28"/>
          <w:u w:val="single"/>
          <w:rtl/>
        </w:rPr>
      </w:pPr>
      <w:r w:rsidRPr="006534B3">
        <w:rPr>
          <w:rFonts w:asciiTheme="majorBidi" w:hAnsiTheme="majorBidi" w:cstheme="majorBidi" w:hint="cs"/>
          <w:b/>
          <w:bCs/>
          <w:sz w:val="28"/>
          <w:szCs w:val="28"/>
          <w:u w:val="single"/>
          <w:rtl/>
        </w:rPr>
        <w:t>איסור אישות בעת צרה</w:t>
      </w:r>
    </w:p>
    <w:p w14:paraId="21004380" w14:textId="77777777" w:rsidR="00772011" w:rsidRPr="00772011" w:rsidRDefault="00772011" w:rsidP="00772011">
      <w:pPr>
        <w:pStyle w:val="aa"/>
        <w:numPr>
          <w:ilvl w:val="0"/>
          <w:numId w:val="1"/>
        </w:numPr>
        <w:spacing w:after="0" w:line="360" w:lineRule="auto"/>
        <w:rPr>
          <w:rFonts w:asciiTheme="majorBidi" w:hAnsiTheme="majorBidi" w:cstheme="majorBidi"/>
          <w:b/>
          <w:bCs/>
          <w:sz w:val="24"/>
          <w:szCs w:val="24"/>
        </w:rPr>
      </w:pPr>
      <w:r w:rsidRPr="00772011">
        <w:rPr>
          <w:rFonts w:asciiTheme="majorBidi" w:hAnsiTheme="majorBidi" w:cstheme="majorBidi" w:hint="cs"/>
          <w:b/>
          <w:bCs/>
          <w:sz w:val="24"/>
          <w:szCs w:val="24"/>
          <w:rtl/>
        </w:rPr>
        <w:t>טעם האיסור</w:t>
      </w:r>
    </w:p>
    <w:p w14:paraId="56E9D49B" w14:textId="33D9B749" w:rsidR="0085146D" w:rsidRPr="00772011" w:rsidRDefault="00053E9D" w:rsidP="00772011">
      <w:pPr>
        <w:spacing w:after="0" w:line="360" w:lineRule="auto"/>
        <w:rPr>
          <w:rFonts w:asciiTheme="majorBidi" w:hAnsiTheme="majorBidi" w:cstheme="majorBidi"/>
          <w:sz w:val="24"/>
          <w:szCs w:val="24"/>
          <w:rtl/>
        </w:rPr>
      </w:pPr>
      <w:r w:rsidRPr="00772011">
        <w:rPr>
          <w:rFonts w:asciiTheme="majorBidi" w:hAnsiTheme="majorBidi" w:cstheme="majorBidi" w:hint="cs"/>
          <w:sz w:val="24"/>
          <w:szCs w:val="24"/>
          <w:rtl/>
        </w:rPr>
        <w:t>ניתן היה להבין, ש</w:t>
      </w:r>
      <w:r w:rsidR="007F52D3">
        <w:rPr>
          <w:rFonts w:asciiTheme="majorBidi" w:hAnsiTheme="majorBidi" w:cstheme="majorBidi" w:hint="cs"/>
          <w:sz w:val="24"/>
          <w:szCs w:val="24"/>
          <w:rtl/>
        </w:rPr>
        <w:t>ההיגיון הוא פשוט, ש</w:t>
      </w:r>
      <w:r w:rsidRPr="00772011">
        <w:rPr>
          <w:rFonts w:asciiTheme="majorBidi" w:hAnsiTheme="majorBidi" w:cstheme="majorBidi" w:hint="cs"/>
          <w:sz w:val="24"/>
          <w:szCs w:val="24"/>
          <w:rtl/>
        </w:rPr>
        <w:t>בעיתות רעב אין להרחיב את ציבור האוכלים.</w:t>
      </w:r>
      <w:r w:rsidR="0085146D" w:rsidRPr="00772011">
        <w:rPr>
          <w:rFonts w:asciiTheme="majorBidi" w:hAnsiTheme="majorBidi" w:cstheme="majorBidi" w:hint="cs"/>
          <w:sz w:val="24"/>
          <w:szCs w:val="24"/>
          <w:rtl/>
        </w:rPr>
        <w:t xml:space="preserve"> </w:t>
      </w:r>
      <w:r w:rsidR="0085146D" w:rsidRPr="00772011">
        <w:rPr>
          <w:rFonts w:asciiTheme="majorBidi" w:hAnsiTheme="majorBidi" w:cs="Times New Roman" w:hint="cs"/>
          <w:sz w:val="24"/>
          <w:szCs w:val="24"/>
          <w:rtl/>
        </w:rPr>
        <w:t xml:space="preserve">כתב </w:t>
      </w:r>
      <w:r w:rsidR="0085146D" w:rsidRPr="00772011">
        <w:rPr>
          <w:rFonts w:asciiTheme="majorBidi" w:hAnsiTheme="majorBidi" w:cs="Times New Roman"/>
          <w:sz w:val="24"/>
          <w:szCs w:val="24"/>
          <w:rtl/>
        </w:rPr>
        <w:t>הריטב"א</w:t>
      </w:r>
      <w:r w:rsidR="00772011" w:rsidRPr="00772011">
        <w:rPr>
          <w:rFonts w:asciiTheme="majorBidi" w:hAnsiTheme="majorBidi" w:cs="Times New Roman" w:hint="cs"/>
          <w:sz w:val="24"/>
          <w:szCs w:val="24"/>
          <w:rtl/>
        </w:rPr>
        <w:t>:</w:t>
      </w:r>
      <w:r w:rsidR="0085146D" w:rsidRPr="00772011">
        <w:rPr>
          <w:rFonts w:asciiTheme="majorBidi" w:hAnsiTheme="majorBidi" w:cs="Times New Roman"/>
          <w:sz w:val="24"/>
          <w:szCs w:val="24"/>
          <w:rtl/>
        </w:rPr>
        <w:t xml:space="preserve"> </w:t>
      </w:r>
      <w:r w:rsidR="0085146D" w:rsidRPr="00772011">
        <w:rPr>
          <w:rFonts w:asciiTheme="majorBidi" w:hAnsiTheme="majorBidi" w:cs="Times New Roman" w:hint="cs"/>
          <w:sz w:val="24"/>
          <w:szCs w:val="24"/>
          <w:rtl/>
        </w:rPr>
        <w:t xml:space="preserve"> </w:t>
      </w:r>
    </w:p>
    <w:p w14:paraId="3CF8C6DA" w14:textId="2C0BE212" w:rsidR="0085146D" w:rsidRPr="006534B3" w:rsidRDefault="0085146D" w:rsidP="00C95C9F">
      <w:pPr>
        <w:spacing w:after="0" w:line="360" w:lineRule="auto"/>
        <w:rPr>
          <w:rFonts w:asciiTheme="majorBidi" w:hAnsiTheme="majorBidi" w:cstheme="majorBidi"/>
          <w:sz w:val="24"/>
          <w:szCs w:val="24"/>
          <w:rtl/>
        </w:rPr>
      </w:pPr>
      <w:r w:rsidRPr="006534B3">
        <w:rPr>
          <w:rFonts w:ascii="David" w:hAnsi="David" w:cs="David"/>
          <w:sz w:val="24"/>
          <w:szCs w:val="24"/>
          <w:rtl/>
        </w:rPr>
        <w:t xml:space="preserve">"מי הם חשוכי בנים שאין בניהם יוצאים </w:t>
      </w:r>
      <w:r w:rsidRPr="006534B3">
        <w:rPr>
          <w:rFonts w:ascii="David" w:hAnsi="David" w:cs="David"/>
          <w:b/>
          <w:bCs/>
          <w:sz w:val="24"/>
          <w:szCs w:val="24"/>
          <w:rtl/>
        </w:rPr>
        <w:t>כשורה</w:t>
      </w:r>
      <w:r w:rsidRPr="006534B3">
        <w:rPr>
          <w:rFonts w:ascii="David" w:hAnsi="David" w:cs="David"/>
          <w:sz w:val="24"/>
          <w:szCs w:val="24"/>
          <w:rtl/>
        </w:rPr>
        <w:t>? מי שמשמשים מטותיהם בשני רעבון".</w:t>
      </w:r>
      <w:r w:rsidRPr="006534B3">
        <w:rPr>
          <w:rFonts w:ascii="David" w:hAnsi="David" w:cs="David" w:hint="cs"/>
          <w:sz w:val="24"/>
          <w:szCs w:val="24"/>
          <w:rtl/>
        </w:rPr>
        <w:t xml:space="preserve"> </w:t>
      </w:r>
      <w:r w:rsidR="007F52D3">
        <w:rPr>
          <w:rFonts w:asciiTheme="majorBidi" w:hAnsiTheme="majorBidi" w:cstheme="majorBidi" w:hint="cs"/>
          <w:sz w:val="24"/>
          <w:szCs w:val="24"/>
          <w:rtl/>
        </w:rPr>
        <w:t xml:space="preserve">פרשנותו היא שאין כאן היתר לחסוכי בנים, אלא גינוי. </w:t>
      </w:r>
      <w:r w:rsidRPr="006534B3">
        <w:rPr>
          <w:rFonts w:asciiTheme="majorBidi" w:hAnsiTheme="majorBidi" w:cstheme="majorBidi" w:hint="cs"/>
          <w:sz w:val="24"/>
          <w:szCs w:val="24"/>
          <w:rtl/>
        </w:rPr>
        <w:t>אפשר לפרש דבריו במישור הפיסי</w:t>
      </w:r>
      <w:r w:rsidR="00C95C9F" w:rsidRPr="006534B3">
        <w:rPr>
          <w:rFonts w:asciiTheme="majorBidi" w:hAnsiTheme="majorBidi" w:cstheme="majorBidi" w:hint="cs"/>
          <w:sz w:val="24"/>
          <w:szCs w:val="24"/>
          <w:rtl/>
        </w:rPr>
        <w:t xml:space="preserve">: </w:t>
      </w:r>
      <w:r w:rsidR="00C95C9F" w:rsidRPr="006534B3">
        <w:rPr>
          <w:rFonts w:ascii="David" w:hAnsi="David" w:cs="David"/>
          <w:sz w:val="24"/>
          <w:szCs w:val="24"/>
          <w:rtl/>
        </w:rPr>
        <w:t>"שהמשמש רעב מוליד בנים חלושי המזג שאינן בר קיימא, ומטעם זה הזהירו רז"ל מאד ע"ז שלא ישמש אדם רעב, וא"כ כפי זה אין איסור תשמיש בזמן מגפה</w:t>
      </w:r>
      <w:r w:rsidR="00C95C9F" w:rsidRPr="006534B3">
        <w:rPr>
          <w:rStyle w:val="a9"/>
          <w:rFonts w:ascii="David" w:hAnsi="David" w:cs="David"/>
          <w:sz w:val="24"/>
          <w:szCs w:val="24"/>
          <w:rtl/>
        </w:rPr>
        <w:footnoteReference w:id="1"/>
      </w:r>
      <w:r w:rsidR="00C95C9F" w:rsidRPr="006534B3">
        <w:rPr>
          <w:rFonts w:ascii="David" w:hAnsi="David" w:cs="David"/>
          <w:sz w:val="24"/>
          <w:szCs w:val="24"/>
          <w:rtl/>
        </w:rPr>
        <w:t>".</w:t>
      </w:r>
    </w:p>
    <w:p w14:paraId="0BE2B00D" w14:textId="7A2D0D86" w:rsidR="00053E9D" w:rsidRPr="006534B3" w:rsidRDefault="0085146D" w:rsidP="00C95C9F">
      <w:pPr>
        <w:spacing w:after="0" w:line="360" w:lineRule="auto"/>
        <w:rPr>
          <w:rFonts w:asciiTheme="majorBidi" w:hAnsiTheme="majorBidi" w:cstheme="majorBidi"/>
          <w:sz w:val="24"/>
          <w:szCs w:val="24"/>
          <w:rtl/>
        </w:rPr>
      </w:pPr>
      <w:r w:rsidRPr="006534B3">
        <w:rPr>
          <w:rFonts w:asciiTheme="majorBidi" w:hAnsiTheme="majorBidi" w:cs="Times New Roman"/>
          <w:sz w:val="24"/>
          <w:szCs w:val="24"/>
          <w:rtl/>
        </w:rPr>
        <w:t xml:space="preserve"> </w:t>
      </w:r>
      <w:r w:rsidR="00053E9D" w:rsidRPr="006534B3">
        <w:rPr>
          <w:rFonts w:asciiTheme="majorBidi" w:hAnsiTheme="majorBidi" w:cstheme="majorBidi" w:hint="cs"/>
          <w:sz w:val="24"/>
          <w:szCs w:val="24"/>
          <w:rtl/>
        </w:rPr>
        <w:t>אולם רש"י כתב:</w:t>
      </w:r>
      <w:r w:rsidR="00C95C9F" w:rsidRPr="006534B3">
        <w:rPr>
          <w:rFonts w:asciiTheme="majorBidi" w:hAnsiTheme="majorBidi" w:cstheme="majorBidi" w:hint="cs"/>
          <w:sz w:val="24"/>
          <w:szCs w:val="24"/>
          <w:rtl/>
        </w:rPr>
        <w:t xml:space="preserve"> </w:t>
      </w:r>
      <w:r w:rsidR="00053E9D" w:rsidRPr="006534B3">
        <w:rPr>
          <w:rFonts w:ascii="David" w:hAnsi="David" w:cs="David" w:hint="cs"/>
          <w:sz w:val="24"/>
          <w:szCs w:val="24"/>
          <w:rtl/>
        </w:rPr>
        <w:t>"</w:t>
      </w:r>
      <w:r w:rsidR="003906CD" w:rsidRPr="006534B3">
        <w:rPr>
          <w:rFonts w:ascii="David" w:hAnsi="David" w:cs="David"/>
          <w:sz w:val="24"/>
          <w:szCs w:val="24"/>
          <w:rtl/>
        </w:rPr>
        <w:t>דצריך אדם לנהוג צער בעצמו</w:t>
      </w:r>
      <w:r w:rsidR="00053E9D" w:rsidRPr="006534B3">
        <w:rPr>
          <w:rStyle w:val="a9"/>
          <w:rFonts w:ascii="David" w:hAnsi="David" w:cs="David"/>
          <w:sz w:val="24"/>
          <w:szCs w:val="24"/>
          <w:rtl/>
        </w:rPr>
        <w:footnoteReference w:id="2"/>
      </w:r>
      <w:r w:rsidR="00053E9D" w:rsidRPr="006534B3">
        <w:rPr>
          <w:rFonts w:ascii="David" w:hAnsi="David" w:cs="David" w:hint="cs"/>
          <w:sz w:val="24"/>
          <w:szCs w:val="24"/>
          <w:rtl/>
        </w:rPr>
        <w:t>"</w:t>
      </w:r>
      <w:r w:rsidR="003906CD" w:rsidRPr="006534B3">
        <w:rPr>
          <w:rFonts w:ascii="David" w:hAnsi="David" w:cs="David"/>
          <w:sz w:val="24"/>
          <w:szCs w:val="24"/>
          <w:rtl/>
        </w:rPr>
        <w:t>.</w:t>
      </w:r>
      <w:r w:rsidR="00053E9D" w:rsidRPr="006534B3">
        <w:rPr>
          <w:rFonts w:ascii="David" w:hAnsi="David" w:cs="David" w:hint="cs"/>
          <w:sz w:val="24"/>
          <w:szCs w:val="24"/>
          <w:rtl/>
        </w:rPr>
        <w:t xml:space="preserve"> </w:t>
      </w:r>
      <w:r w:rsidR="00053E9D" w:rsidRPr="006534B3">
        <w:rPr>
          <w:rFonts w:asciiTheme="majorBidi" w:hAnsiTheme="majorBidi" w:cstheme="majorBidi"/>
          <w:sz w:val="24"/>
          <w:szCs w:val="24"/>
          <w:rtl/>
        </w:rPr>
        <w:t>הירושלמי מקדים</w:t>
      </w:r>
      <w:r w:rsidR="00053E9D" w:rsidRPr="006534B3">
        <w:rPr>
          <w:rFonts w:ascii="David" w:hAnsi="David" w:cs="David" w:hint="cs"/>
          <w:sz w:val="24"/>
          <w:szCs w:val="24"/>
          <w:rtl/>
        </w:rPr>
        <w:t xml:space="preserve">: </w:t>
      </w:r>
    </w:p>
    <w:p w14:paraId="20497EB8" w14:textId="6258875D" w:rsidR="00053E9D" w:rsidRPr="006534B3" w:rsidRDefault="00053E9D" w:rsidP="00053E9D">
      <w:pPr>
        <w:spacing w:after="0" w:line="360" w:lineRule="auto"/>
        <w:rPr>
          <w:rFonts w:asciiTheme="majorBidi" w:hAnsiTheme="majorBidi" w:cstheme="majorBidi"/>
          <w:sz w:val="24"/>
          <w:szCs w:val="24"/>
          <w:rtl/>
        </w:rPr>
      </w:pPr>
      <w:r w:rsidRPr="006534B3">
        <w:rPr>
          <w:rFonts w:ascii="David" w:hAnsi="David" w:cs="David" w:hint="cs"/>
          <w:sz w:val="24"/>
          <w:szCs w:val="24"/>
          <w:rtl/>
        </w:rPr>
        <w:t>"</w:t>
      </w:r>
      <w:r w:rsidRPr="006534B3">
        <w:rPr>
          <w:rFonts w:ascii="David" w:hAnsi="David" w:cs="David"/>
          <w:sz w:val="24"/>
          <w:szCs w:val="24"/>
          <w:rtl/>
        </w:rPr>
        <w:t>ר' יודה בר פזי ר' חנין בשם ר' שמואל בר רב יצחק</w:t>
      </w:r>
      <w:r w:rsidR="007F52D3">
        <w:rPr>
          <w:rFonts w:ascii="David" w:hAnsi="David" w:cs="David" w:hint="cs"/>
          <w:sz w:val="24"/>
          <w:szCs w:val="24"/>
          <w:rtl/>
        </w:rPr>
        <w:t>:</w:t>
      </w:r>
      <w:r w:rsidRPr="006534B3">
        <w:rPr>
          <w:rFonts w:ascii="David" w:hAnsi="David" w:cs="David"/>
          <w:sz w:val="24"/>
          <w:szCs w:val="24"/>
          <w:rtl/>
        </w:rPr>
        <w:t xml:space="preserve"> נח בכניסתו לתיבה</w:t>
      </w:r>
      <w:r w:rsidR="007F52D3">
        <w:rPr>
          <w:rFonts w:ascii="David" w:hAnsi="David" w:cs="David" w:hint="cs"/>
          <w:sz w:val="24"/>
          <w:szCs w:val="24"/>
          <w:rtl/>
        </w:rPr>
        <w:t>-</w:t>
      </w:r>
      <w:r w:rsidRPr="006534B3">
        <w:rPr>
          <w:rFonts w:ascii="David" w:hAnsi="David" w:cs="David"/>
          <w:sz w:val="24"/>
          <w:szCs w:val="24"/>
          <w:rtl/>
        </w:rPr>
        <w:t xml:space="preserve"> נאסרה לו תשמיש המיטה. מ"ט</w:t>
      </w:r>
      <w:r w:rsidR="007F52D3">
        <w:rPr>
          <w:rFonts w:ascii="David" w:hAnsi="David" w:cs="David" w:hint="cs"/>
          <w:sz w:val="24"/>
          <w:szCs w:val="24"/>
          <w:rtl/>
        </w:rPr>
        <w:t>?</w:t>
      </w:r>
      <w:r w:rsidRPr="006534B3">
        <w:rPr>
          <w:rFonts w:ascii="David" w:hAnsi="David" w:cs="David"/>
          <w:sz w:val="24"/>
          <w:szCs w:val="24"/>
          <w:rtl/>
        </w:rPr>
        <w:t xml:space="preserve"> </w:t>
      </w:r>
      <w:r w:rsidRPr="006534B3">
        <w:rPr>
          <w:rFonts w:ascii="David" w:hAnsi="David" w:cs="David"/>
          <w:sz w:val="18"/>
          <w:szCs w:val="18"/>
          <w:rtl/>
        </w:rPr>
        <w:t>[בראשית ו יח]</w:t>
      </w:r>
      <w:r w:rsidRPr="006534B3">
        <w:rPr>
          <w:rFonts w:ascii="David" w:hAnsi="David" w:cs="David"/>
          <w:sz w:val="24"/>
          <w:szCs w:val="24"/>
          <w:rtl/>
        </w:rPr>
        <w:t xml:space="preserve"> ובאת אל התיבה אתה ובניך ואשתך ונשי בניך אתך</w:t>
      </w:r>
      <w:r w:rsidR="007F52D3">
        <w:rPr>
          <w:rFonts w:ascii="David" w:hAnsi="David" w:cs="David" w:hint="cs"/>
          <w:sz w:val="24"/>
          <w:szCs w:val="24"/>
          <w:rtl/>
        </w:rPr>
        <w:t>,</w:t>
      </w:r>
      <w:r w:rsidRPr="006534B3">
        <w:rPr>
          <w:rFonts w:ascii="David" w:hAnsi="David" w:cs="David"/>
          <w:sz w:val="24"/>
          <w:szCs w:val="24"/>
          <w:rtl/>
        </w:rPr>
        <w:t xml:space="preserve"> וביציאתו הותרה לו תשמיש המיטה</w:t>
      </w:r>
      <w:r w:rsidR="007F52D3">
        <w:rPr>
          <w:rFonts w:ascii="David" w:hAnsi="David" w:cs="David" w:hint="cs"/>
          <w:sz w:val="24"/>
          <w:szCs w:val="24"/>
          <w:rtl/>
        </w:rPr>
        <w:t>.</w:t>
      </w:r>
      <w:r w:rsidRPr="006534B3">
        <w:rPr>
          <w:rFonts w:ascii="David" w:hAnsi="David" w:cs="David"/>
          <w:sz w:val="24"/>
          <w:szCs w:val="24"/>
          <w:rtl/>
        </w:rPr>
        <w:t xml:space="preserve"> מ"ט</w:t>
      </w:r>
      <w:r w:rsidR="007F52D3">
        <w:rPr>
          <w:rFonts w:ascii="David" w:hAnsi="David" w:cs="David" w:hint="cs"/>
          <w:sz w:val="24"/>
          <w:szCs w:val="24"/>
          <w:rtl/>
        </w:rPr>
        <w:t>?</w:t>
      </w:r>
      <w:r w:rsidRPr="006534B3">
        <w:rPr>
          <w:rFonts w:ascii="David" w:hAnsi="David" w:cs="David"/>
          <w:sz w:val="24"/>
          <w:szCs w:val="24"/>
          <w:rtl/>
        </w:rPr>
        <w:t xml:space="preserve"> </w:t>
      </w:r>
      <w:r w:rsidRPr="006534B3">
        <w:rPr>
          <w:rFonts w:ascii="David" w:hAnsi="David" w:cs="David"/>
          <w:sz w:val="18"/>
          <w:szCs w:val="18"/>
          <w:rtl/>
        </w:rPr>
        <w:t>[שם ח טז]</w:t>
      </w:r>
      <w:r w:rsidRPr="006534B3">
        <w:rPr>
          <w:rFonts w:ascii="David" w:hAnsi="David" w:cs="David"/>
          <w:sz w:val="24"/>
          <w:szCs w:val="24"/>
          <w:rtl/>
        </w:rPr>
        <w:t xml:space="preserve"> צא מן התיבה אתה ואשתך ובניך ונשי בניך אתך.</w:t>
      </w:r>
      <w:r w:rsidR="00C95C9F" w:rsidRPr="006534B3">
        <w:rPr>
          <w:rFonts w:ascii="David" w:hAnsi="David" w:cs="David" w:hint="cs"/>
          <w:sz w:val="24"/>
          <w:szCs w:val="24"/>
          <w:rtl/>
        </w:rPr>
        <w:t>..</w:t>
      </w:r>
      <w:r w:rsidRPr="006534B3">
        <w:rPr>
          <w:rFonts w:ascii="David" w:hAnsi="David" w:cs="David"/>
          <w:sz w:val="24"/>
          <w:szCs w:val="24"/>
          <w:rtl/>
        </w:rPr>
        <w:t>א"ר אבון כתיב</w:t>
      </w:r>
      <w:r w:rsidR="007F52D3">
        <w:rPr>
          <w:rFonts w:ascii="David" w:hAnsi="David" w:cs="David" w:hint="cs"/>
          <w:sz w:val="24"/>
          <w:szCs w:val="24"/>
          <w:rtl/>
        </w:rPr>
        <w:t>:</w:t>
      </w:r>
      <w:r w:rsidRPr="006534B3">
        <w:rPr>
          <w:rFonts w:ascii="David" w:hAnsi="David" w:cs="David"/>
          <w:sz w:val="24"/>
          <w:szCs w:val="24"/>
          <w:rtl/>
        </w:rPr>
        <w:t xml:space="preserve"> </w:t>
      </w:r>
      <w:r w:rsidRPr="006534B3">
        <w:rPr>
          <w:rFonts w:ascii="David" w:hAnsi="David" w:cs="David"/>
          <w:sz w:val="18"/>
          <w:szCs w:val="18"/>
          <w:rtl/>
        </w:rPr>
        <w:t>[איוב ל ג]</w:t>
      </w:r>
      <w:r w:rsidRPr="006534B3">
        <w:rPr>
          <w:rFonts w:ascii="David" w:hAnsi="David" w:cs="David"/>
          <w:sz w:val="24"/>
          <w:szCs w:val="24"/>
          <w:rtl/>
        </w:rPr>
        <w:t xml:space="preserve"> בחסר ובכפן גלמוד</w:t>
      </w:r>
      <w:r w:rsidR="007F52D3">
        <w:rPr>
          <w:rFonts w:ascii="David" w:hAnsi="David" w:cs="David" w:hint="cs"/>
          <w:sz w:val="24"/>
          <w:szCs w:val="24"/>
          <w:rtl/>
        </w:rPr>
        <w:t>.</w:t>
      </w:r>
      <w:r w:rsidRPr="006534B3">
        <w:rPr>
          <w:rFonts w:ascii="David" w:hAnsi="David" w:cs="David"/>
          <w:sz w:val="24"/>
          <w:szCs w:val="24"/>
          <w:rtl/>
        </w:rPr>
        <w:t xml:space="preserve"> בשעה שאת רואה חסרון בא לעולם</w:t>
      </w:r>
      <w:r w:rsidR="007F52D3">
        <w:rPr>
          <w:rFonts w:ascii="David" w:hAnsi="David" w:cs="David" w:hint="cs"/>
          <w:sz w:val="24"/>
          <w:szCs w:val="24"/>
          <w:rtl/>
        </w:rPr>
        <w:t>-</w:t>
      </w:r>
      <w:r w:rsidRPr="006534B3">
        <w:rPr>
          <w:rFonts w:ascii="David" w:hAnsi="David" w:cs="David"/>
          <w:sz w:val="24"/>
          <w:szCs w:val="24"/>
          <w:rtl/>
        </w:rPr>
        <w:t xml:space="preserve"> עשה אשתך גלמודה</w:t>
      </w:r>
      <w:r w:rsidRPr="006534B3">
        <w:rPr>
          <w:rStyle w:val="a9"/>
          <w:rFonts w:ascii="David" w:hAnsi="David" w:cs="David"/>
          <w:sz w:val="24"/>
          <w:szCs w:val="24"/>
          <w:rtl/>
        </w:rPr>
        <w:footnoteReference w:id="3"/>
      </w:r>
      <w:r w:rsidRPr="006534B3">
        <w:rPr>
          <w:rFonts w:ascii="David" w:hAnsi="David" w:cs="David" w:hint="cs"/>
          <w:sz w:val="24"/>
          <w:szCs w:val="24"/>
          <w:rtl/>
        </w:rPr>
        <w:t>"</w:t>
      </w:r>
      <w:r w:rsidRPr="006534B3">
        <w:rPr>
          <w:rFonts w:ascii="David" w:hAnsi="David" w:cs="David"/>
          <w:sz w:val="24"/>
          <w:szCs w:val="24"/>
          <w:rtl/>
        </w:rPr>
        <w:t>.</w:t>
      </w:r>
      <w:r w:rsidRPr="006534B3">
        <w:rPr>
          <w:rFonts w:ascii="David" w:hAnsi="David" w:cs="David" w:hint="cs"/>
          <w:sz w:val="24"/>
          <w:szCs w:val="24"/>
          <w:rtl/>
        </w:rPr>
        <w:t xml:space="preserve"> </w:t>
      </w:r>
      <w:r w:rsidRPr="006534B3">
        <w:rPr>
          <w:rFonts w:asciiTheme="majorBidi" w:hAnsiTheme="majorBidi" w:cstheme="majorBidi" w:hint="cs"/>
          <w:sz w:val="24"/>
          <w:szCs w:val="24"/>
          <w:rtl/>
        </w:rPr>
        <w:t>מכאן ניתן ללמוד שאין מדובר דווקא בצער ישראל:</w:t>
      </w:r>
    </w:p>
    <w:p w14:paraId="3E8F098C" w14:textId="794DE09C" w:rsidR="00053E9D" w:rsidRPr="006534B3" w:rsidRDefault="00053E9D" w:rsidP="00053E9D">
      <w:pPr>
        <w:spacing w:after="0" w:line="360" w:lineRule="auto"/>
        <w:rPr>
          <w:rFonts w:ascii="David" w:hAnsi="David" w:cs="David"/>
          <w:sz w:val="24"/>
          <w:szCs w:val="24"/>
          <w:rtl/>
        </w:rPr>
      </w:pPr>
      <w:r w:rsidRPr="006534B3">
        <w:rPr>
          <w:rFonts w:ascii="David" w:hAnsi="David" w:cs="David" w:hint="cs"/>
          <w:sz w:val="24"/>
          <w:szCs w:val="24"/>
          <w:rtl/>
        </w:rPr>
        <w:t>"</w:t>
      </w:r>
      <w:r w:rsidRPr="006534B3">
        <w:rPr>
          <w:rFonts w:ascii="David" w:hAnsi="David" w:cs="David"/>
          <w:sz w:val="24"/>
          <w:szCs w:val="24"/>
          <w:rtl/>
        </w:rPr>
        <w:t>בצער כולל כרעבון גם מפני צער או"ה אסור</w:t>
      </w:r>
      <w:r w:rsidR="00C95C9F" w:rsidRPr="006534B3">
        <w:rPr>
          <w:rFonts w:ascii="David" w:hAnsi="David" w:cs="David" w:hint="cs"/>
          <w:sz w:val="24"/>
          <w:szCs w:val="24"/>
          <w:rtl/>
        </w:rPr>
        <w:t>,</w:t>
      </w:r>
      <w:r w:rsidRPr="006534B3">
        <w:rPr>
          <w:rFonts w:ascii="David" w:hAnsi="David" w:cs="David"/>
          <w:sz w:val="24"/>
          <w:szCs w:val="24"/>
          <w:rtl/>
        </w:rPr>
        <w:t xml:space="preserve"> וכי הא דאמרינן </w:t>
      </w:r>
      <w:r w:rsidRPr="006534B3">
        <w:rPr>
          <w:rFonts w:ascii="David" w:hAnsi="David" w:cs="David"/>
          <w:sz w:val="18"/>
          <w:szCs w:val="18"/>
          <w:rtl/>
        </w:rPr>
        <w:t>[מגילה י, ב]</w:t>
      </w:r>
      <w:r w:rsidRPr="006534B3">
        <w:rPr>
          <w:rFonts w:ascii="David" w:hAnsi="David" w:cs="David"/>
          <w:sz w:val="24"/>
          <w:szCs w:val="24"/>
          <w:rtl/>
        </w:rPr>
        <w:t xml:space="preserve"> בקשו מלאכי השרת לומר שירה</w:t>
      </w:r>
      <w:r w:rsidR="007F52D3">
        <w:rPr>
          <w:rFonts w:ascii="David" w:hAnsi="David" w:cs="David" w:hint="cs"/>
          <w:sz w:val="24"/>
          <w:szCs w:val="24"/>
          <w:rtl/>
        </w:rPr>
        <w:t>,</w:t>
      </w:r>
      <w:r w:rsidRPr="006534B3">
        <w:rPr>
          <w:rFonts w:ascii="David" w:hAnsi="David" w:cs="David"/>
          <w:sz w:val="24"/>
          <w:szCs w:val="24"/>
          <w:rtl/>
        </w:rPr>
        <w:t xml:space="preserve"> אמר הקדוש ברוך הוא מעשה ידי טובעים בים כו', ואף על גב דהתם לא היתה צרה נוגעת רק למצריים ושונאי ישראל. אבל במה שנוגע לכל העולם פשיטא דיש עצבון לפניו ית</w:t>
      </w:r>
      <w:r w:rsidRPr="006534B3">
        <w:rPr>
          <w:rFonts w:ascii="David" w:hAnsi="David" w:cs="David" w:hint="cs"/>
          <w:sz w:val="24"/>
          <w:szCs w:val="24"/>
          <w:rtl/>
        </w:rPr>
        <w:t>'</w:t>
      </w:r>
      <w:r w:rsidRPr="006534B3">
        <w:rPr>
          <w:rStyle w:val="a9"/>
          <w:rFonts w:ascii="David" w:hAnsi="David" w:cs="David"/>
          <w:sz w:val="24"/>
          <w:szCs w:val="24"/>
          <w:rtl/>
        </w:rPr>
        <w:footnoteReference w:id="4"/>
      </w:r>
      <w:r w:rsidRPr="006534B3">
        <w:rPr>
          <w:rFonts w:ascii="David" w:hAnsi="David" w:cs="David" w:hint="cs"/>
          <w:sz w:val="24"/>
          <w:szCs w:val="24"/>
          <w:rtl/>
        </w:rPr>
        <w:t>".</w:t>
      </w:r>
    </w:p>
    <w:p w14:paraId="5638888F" w14:textId="4242759F" w:rsidR="0085146D" w:rsidRPr="006534B3" w:rsidRDefault="00BD6DC0" w:rsidP="00C95C9F">
      <w:pPr>
        <w:spacing w:after="0" w:line="360" w:lineRule="auto"/>
        <w:rPr>
          <w:rFonts w:ascii="David" w:hAnsi="David" w:cs="David"/>
          <w:sz w:val="24"/>
          <w:szCs w:val="24"/>
          <w:rtl/>
        </w:rPr>
      </w:pPr>
      <w:r w:rsidRPr="006534B3">
        <w:rPr>
          <w:rFonts w:asciiTheme="majorBidi" w:hAnsiTheme="majorBidi" w:cstheme="majorBidi" w:hint="cs"/>
          <w:sz w:val="24"/>
          <w:szCs w:val="24"/>
          <w:rtl/>
        </w:rPr>
        <w:t xml:space="preserve">על זמן המבול אומר המדרש: </w:t>
      </w:r>
      <w:r w:rsidRPr="006534B3">
        <w:rPr>
          <w:rFonts w:ascii="David" w:hAnsi="David" w:cs="David" w:hint="cs"/>
          <w:sz w:val="24"/>
          <w:szCs w:val="24"/>
          <w:rtl/>
        </w:rPr>
        <w:t>"</w:t>
      </w:r>
      <w:r w:rsidRPr="006534B3">
        <w:rPr>
          <w:rFonts w:ascii="David" w:hAnsi="David" w:cs="David"/>
          <w:sz w:val="24"/>
          <w:szCs w:val="24"/>
          <w:rtl/>
        </w:rPr>
        <w:t>אמר להם הקדוש ברוך הוא אפשר שאהא כועס ומחריב את העולם ואתה בונה</w:t>
      </w:r>
      <w:r w:rsidRPr="006534B3">
        <w:rPr>
          <w:rStyle w:val="a9"/>
          <w:rFonts w:ascii="David" w:hAnsi="David" w:cs="David"/>
          <w:sz w:val="24"/>
          <w:szCs w:val="24"/>
          <w:rtl/>
        </w:rPr>
        <w:footnoteReference w:id="5"/>
      </w:r>
      <w:r w:rsidRPr="006534B3">
        <w:rPr>
          <w:rFonts w:ascii="David" w:hAnsi="David" w:cs="David" w:hint="cs"/>
          <w:sz w:val="24"/>
          <w:szCs w:val="24"/>
          <w:rtl/>
        </w:rPr>
        <w:t xml:space="preserve">". </w:t>
      </w:r>
      <w:r w:rsidR="00C95C9F" w:rsidRPr="006534B3">
        <w:rPr>
          <w:rFonts w:asciiTheme="majorBidi" w:hAnsiTheme="majorBidi" w:cstheme="majorBidi" w:hint="cs"/>
          <w:sz w:val="24"/>
          <w:szCs w:val="24"/>
          <w:rtl/>
        </w:rPr>
        <w:t xml:space="preserve">גם </w:t>
      </w:r>
      <w:r w:rsidR="0085146D" w:rsidRPr="006534B3">
        <w:rPr>
          <w:rFonts w:asciiTheme="majorBidi" w:hAnsiTheme="majorBidi" w:cstheme="majorBidi"/>
          <w:sz w:val="24"/>
          <w:szCs w:val="24"/>
          <w:rtl/>
        </w:rPr>
        <w:t>מכאן למד בציץ אליעזר להתיר בעת מלחמה</w:t>
      </w:r>
      <w:r w:rsidR="0085146D" w:rsidRPr="006534B3">
        <w:rPr>
          <w:rFonts w:ascii="David" w:hAnsi="David" w:cs="David" w:hint="cs"/>
          <w:sz w:val="24"/>
          <w:szCs w:val="24"/>
          <w:rtl/>
        </w:rPr>
        <w:t>: "</w:t>
      </w:r>
      <w:r w:rsidR="0085146D" w:rsidRPr="006534B3">
        <w:rPr>
          <w:rFonts w:ascii="David" w:hAnsi="David" w:cs="David"/>
          <w:sz w:val="24"/>
          <w:szCs w:val="24"/>
          <w:rtl/>
        </w:rPr>
        <w:t>לא כשבא זה ע"י פעולות אמצעיות של בני אדם כבשעת מלחמה</w:t>
      </w:r>
      <w:r w:rsidR="0085146D" w:rsidRPr="006534B3">
        <w:rPr>
          <w:rStyle w:val="a9"/>
          <w:rFonts w:ascii="David" w:hAnsi="David" w:cs="David"/>
          <w:sz w:val="24"/>
          <w:szCs w:val="24"/>
          <w:rtl/>
        </w:rPr>
        <w:footnoteReference w:id="6"/>
      </w:r>
      <w:r w:rsidR="0085146D" w:rsidRPr="006534B3">
        <w:rPr>
          <w:rFonts w:ascii="David" w:hAnsi="David" w:cs="David" w:hint="cs"/>
          <w:sz w:val="24"/>
          <w:szCs w:val="24"/>
          <w:rtl/>
        </w:rPr>
        <w:t>".</w:t>
      </w:r>
      <w:r w:rsidR="0085146D" w:rsidRPr="006534B3">
        <w:rPr>
          <w:rFonts w:ascii="David" w:hAnsi="David" w:cs="David"/>
          <w:sz w:val="24"/>
          <w:szCs w:val="24"/>
          <w:rtl/>
        </w:rPr>
        <w:t xml:space="preserve"> </w:t>
      </w:r>
      <w:r w:rsidR="0085146D" w:rsidRPr="006534B3">
        <w:rPr>
          <w:rFonts w:asciiTheme="majorBidi" w:hAnsiTheme="majorBidi" w:cstheme="majorBidi" w:hint="cs"/>
          <w:sz w:val="24"/>
          <w:szCs w:val="24"/>
          <w:rtl/>
        </w:rPr>
        <w:t xml:space="preserve">פסק הרמ"א:  </w:t>
      </w:r>
      <w:r w:rsidRPr="006534B3">
        <w:rPr>
          <w:rFonts w:ascii="David" w:hAnsi="David" w:cs="Guttman Yad-Brush" w:hint="cs"/>
          <w:sz w:val="18"/>
          <w:szCs w:val="18"/>
          <w:rtl/>
        </w:rPr>
        <w:t>"</w:t>
      </w:r>
      <w:r w:rsidRPr="006534B3">
        <w:rPr>
          <w:rFonts w:ascii="David" w:hAnsi="David" w:cs="Guttman Yad-Brush"/>
          <w:sz w:val="18"/>
          <w:szCs w:val="18"/>
          <w:rtl/>
        </w:rPr>
        <w:t xml:space="preserve">והוא הדין בשאר צרות, שהם כרעבון </w:t>
      </w:r>
      <w:r w:rsidRPr="007F52D3">
        <w:rPr>
          <w:rFonts w:ascii="David" w:hAnsi="David" w:cs="Guttman Yad-Brush"/>
          <w:sz w:val="16"/>
          <w:szCs w:val="16"/>
          <w:rtl/>
        </w:rPr>
        <w:t>(ירושלמי דתענית)</w:t>
      </w:r>
      <w:r w:rsidRPr="006534B3">
        <w:rPr>
          <w:rStyle w:val="a9"/>
          <w:rFonts w:ascii="David" w:hAnsi="David" w:cs="Guttman Yad-Brush"/>
          <w:sz w:val="18"/>
          <w:szCs w:val="18"/>
          <w:rtl/>
        </w:rPr>
        <w:footnoteReference w:id="7"/>
      </w:r>
      <w:r w:rsidRPr="006534B3">
        <w:rPr>
          <w:rFonts w:ascii="David" w:hAnsi="David" w:cs="Guttman Yad-Brush" w:hint="cs"/>
          <w:sz w:val="18"/>
          <w:szCs w:val="18"/>
          <w:rtl/>
        </w:rPr>
        <w:t>"</w:t>
      </w:r>
      <w:r w:rsidRPr="006534B3">
        <w:rPr>
          <w:rFonts w:ascii="David" w:hAnsi="David" w:cs="Guttman Yad-Brush"/>
          <w:sz w:val="18"/>
          <w:szCs w:val="18"/>
          <w:rtl/>
        </w:rPr>
        <w:t>.</w:t>
      </w:r>
      <w:r w:rsidR="00C95C9F" w:rsidRPr="006534B3">
        <w:rPr>
          <w:rFonts w:ascii="David" w:hAnsi="David" w:cs="David" w:hint="cs"/>
          <w:sz w:val="24"/>
          <w:szCs w:val="24"/>
          <w:rtl/>
        </w:rPr>
        <w:t xml:space="preserve">  </w:t>
      </w:r>
      <w:r w:rsidR="0085146D" w:rsidRPr="006534B3">
        <w:rPr>
          <w:rFonts w:ascii="David" w:hAnsi="David" w:cs="David" w:hint="cs"/>
          <w:sz w:val="24"/>
          <w:szCs w:val="24"/>
          <w:rtl/>
        </w:rPr>
        <w:t>"</w:t>
      </w:r>
      <w:r w:rsidR="0085146D" w:rsidRPr="006534B3">
        <w:rPr>
          <w:rFonts w:ascii="David" w:hAnsi="David" w:cs="David"/>
          <w:sz w:val="24"/>
          <w:szCs w:val="24"/>
          <w:rtl/>
        </w:rPr>
        <w:t xml:space="preserve">והתבוננתי שגדולי המפרשים נחלקו באמת במהות כוונת הרמ"א בזה. </w:t>
      </w:r>
    </w:p>
    <w:p w14:paraId="6FECCF58" w14:textId="096124DA" w:rsidR="003906CD" w:rsidRPr="006534B3" w:rsidRDefault="0085146D" w:rsidP="00D968DA">
      <w:pPr>
        <w:spacing w:after="0" w:line="360" w:lineRule="auto"/>
        <w:rPr>
          <w:rFonts w:ascii="David" w:hAnsi="David" w:cs="David"/>
          <w:sz w:val="24"/>
          <w:szCs w:val="24"/>
          <w:rtl/>
        </w:rPr>
      </w:pPr>
      <w:r w:rsidRPr="006534B3">
        <w:rPr>
          <w:rFonts w:ascii="David" w:hAnsi="David" w:cs="David"/>
          <w:sz w:val="24"/>
          <w:szCs w:val="24"/>
          <w:rtl/>
        </w:rPr>
        <w:t xml:space="preserve">דהעולת תמיד </w:t>
      </w:r>
      <w:r w:rsidRPr="006534B3">
        <w:rPr>
          <w:rFonts w:ascii="David" w:hAnsi="David" w:cs="David"/>
          <w:sz w:val="18"/>
          <w:szCs w:val="18"/>
          <w:rtl/>
        </w:rPr>
        <w:t>בסק"ו</w:t>
      </w:r>
      <w:r w:rsidRPr="006534B3">
        <w:rPr>
          <w:rFonts w:ascii="David" w:hAnsi="David" w:cs="David"/>
          <w:sz w:val="24"/>
          <w:szCs w:val="24"/>
          <w:rtl/>
        </w:rPr>
        <w:t xml:space="preserve"> מבאר כוונת הרמ"א וכותב וז"ל: ומ"ש שהם כרעבון</w:t>
      </w:r>
      <w:r w:rsidRPr="006534B3">
        <w:rPr>
          <w:rFonts w:ascii="David" w:hAnsi="David" w:cs="David" w:hint="cs"/>
          <w:sz w:val="24"/>
          <w:szCs w:val="24"/>
          <w:rtl/>
        </w:rPr>
        <w:t>-</w:t>
      </w:r>
      <w:r w:rsidRPr="006534B3">
        <w:rPr>
          <w:rFonts w:ascii="David" w:hAnsi="David" w:cs="David"/>
          <w:sz w:val="24"/>
          <w:szCs w:val="24"/>
          <w:rtl/>
        </w:rPr>
        <w:t xml:space="preserve"> פירש כגון אלו שביאר המחבר לקמן בהלכות תענית </w:t>
      </w:r>
      <w:r w:rsidRPr="006534B3">
        <w:rPr>
          <w:rFonts w:ascii="David" w:hAnsi="David" w:cs="David"/>
          <w:sz w:val="18"/>
          <w:szCs w:val="18"/>
          <w:rtl/>
        </w:rPr>
        <w:t>סימן תקע"ו</w:t>
      </w:r>
      <w:r w:rsidRPr="006534B3">
        <w:rPr>
          <w:rFonts w:ascii="David" w:hAnsi="David" w:cs="David"/>
          <w:sz w:val="24"/>
          <w:szCs w:val="24"/>
          <w:rtl/>
        </w:rPr>
        <w:t xml:space="preserve"> שגוזרין עליהם תענית עכ"ל</w:t>
      </w:r>
      <w:r w:rsidR="00C95C9F" w:rsidRPr="006534B3">
        <w:rPr>
          <w:rFonts w:ascii="David" w:hAnsi="David" w:cs="David" w:hint="cs"/>
          <w:sz w:val="24"/>
          <w:szCs w:val="24"/>
          <w:rtl/>
        </w:rPr>
        <w:t xml:space="preserve">... </w:t>
      </w:r>
      <w:r w:rsidRPr="006534B3">
        <w:rPr>
          <w:rFonts w:ascii="David" w:hAnsi="David" w:cs="David"/>
          <w:sz w:val="24"/>
          <w:szCs w:val="24"/>
          <w:rtl/>
        </w:rPr>
        <w:t>נמנה ביניהם גם כותים שבאו לערוך מלחמה עם ישראל, וא"כ מוכח שפירש כוונת הרמ"א שגם על זמן מלחמה ישנו האיסור הזה.</w:t>
      </w:r>
      <w:r w:rsidRPr="006534B3">
        <w:rPr>
          <w:rFonts w:ascii="David" w:hAnsi="David" w:cs="David" w:hint="cs"/>
          <w:sz w:val="24"/>
          <w:szCs w:val="24"/>
          <w:rtl/>
        </w:rPr>
        <w:t xml:space="preserve">.. </w:t>
      </w:r>
      <w:r w:rsidRPr="006534B3">
        <w:rPr>
          <w:rFonts w:ascii="David" w:hAnsi="David" w:cs="David"/>
          <w:sz w:val="24"/>
          <w:szCs w:val="24"/>
          <w:rtl/>
        </w:rPr>
        <w:t>אבל בשירי כנה"ג</w:t>
      </w:r>
      <w:r w:rsidRPr="006534B3">
        <w:rPr>
          <w:rFonts w:ascii="David" w:hAnsi="David" w:cs="David" w:hint="cs"/>
          <w:sz w:val="24"/>
          <w:szCs w:val="24"/>
          <w:rtl/>
        </w:rPr>
        <w:t xml:space="preserve">.. </w:t>
      </w:r>
      <w:r w:rsidRPr="006534B3">
        <w:rPr>
          <w:rFonts w:ascii="David" w:hAnsi="David" w:cs="David"/>
          <w:sz w:val="24"/>
          <w:szCs w:val="24"/>
          <w:rtl/>
        </w:rPr>
        <w:t xml:space="preserve">כותב לפרש, דהירושלמי לא אסר בכל הצרות שמתענין עליהם </w:t>
      </w:r>
      <w:r w:rsidRPr="006534B3">
        <w:rPr>
          <w:rFonts w:ascii="David" w:hAnsi="David" w:cs="David"/>
          <w:sz w:val="24"/>
          <w:szCs w:val="24"/>
          <w:rtl/>
        </w:rPr>
        <w:lastRenderedPageBreak/>
        <w:t xml:space="preserve">כרעבון אלא </w:t>
      </w:r>
      <w:r w:rsidRPr="006534B3">
        <w:rPr>
          <w:rFonts w:ascii="David" w:hAnsi="David" w:cs="David"/>
          <w:b/>
          <w:bCs/>
          <w:sz w:val="24"/>
          <w:szCs w:val="24"/>
          <w:rtl/>
        </w:rPr>
        <w:t>דוקא צרות דומיא דרעב</w:t>
      </w:r>
      <w:r w:rsidRPr="006534B3">
        <w:rPr>
          <w:rFonts w:ascii="David" w:hAnsi="David" w:cs="David"/>
          <w:sz w:val="24"/>
          <w:szCs w:val="24"/>
          <w:rtl/>
        </w:rPr>
        <w:t xml:space="preserve"> כגון על הירקון על השדפון ועל החסיל והארבה והמזונות שכל אלו דמו לרעבון, אבל בצרות אחרות כדבר וכיוצא בהם דלא דמי לרעבון</w:t>
      </w:r>
      <w:r w:rsidR="007F52D3">
        <w:rPr>
          <w:rFonts w:ascii="David" w:hAnsi="David" w:cs="David" w:hint="cs"/>
          <w:sz w:val="24"/>
          <w:szCs w:val="24"/>
          <w:rtl/>
        </w:rPr>
        <w:t>-</w:t>
      </w:r>
      <w:r w:rsidRPr="006534B3">
        <w:rPr>
          <w:rFonts w:ascii="David" w:hAnsi="David" w:cs="David"/>
          <w:sz w:val="24"/>
          <w:szCs w:val="24"/>
          <w:rtl/>
        </w:rPr>
        <w:t xml:space="preserve"> לא נאסר תשמיש המטה, וכך כותב לפרש גם כוונת הרמ"א</w:t>
      </w:r>
      <w:r w:rsidRPr="006534B3">
        <w:rPr>
          <w:rStyle w:val="a9"/>
          <w:rFonts w:ascii="David" w:hAnsi="David" w:cs="David"/>
          <w:sz w:val="24"/>
          <w:szCs w:val="24"/>
          <w:rtl/>
        </w:rPr>
        <w:footnoteReference w:id="8"/>
      </w:r>
      <w:r w:rsidRPr="006534B3">
        <w:rPr>
          <w:rFonts w:ascii="David" w:hAnsi="David" w:cs="David" w:hint="cs"/>
          <w:sz w:val="24"/>
          <w:szCs w:val="24"/>
          <w:rtl/>
        </w:rPr>
        <w:t>"</w:t>
      </w:r>
      <w:r w:rsidRPr="006534B3">
        <w:rPr>
          <w:rFonts w:ascii="David" w:hAnsi="David" w:cs="David"/>
          <w:sz w:val="24"/>
          <w:szCs w:val="24"/>
          <w:rtl/>
        </w:rPr>
        <w:t>.</w:t>
      </w:r>
    </w:p>
    <w:p w14:paraId="761DE7FC" w14:textId="12E6AB3A" w:rsidR="005A1E67" w:rsidRPr="00772011" w:rsidRDefault="005A1E67" w:rsidP="00772011">
      <w:pPr>
        <w:pStyle w:val="aa"/>
        <w:numPr>
          <w:ilvl w:val="0"/>
          <w:numId w:val="1"/>
        </w:numPr>
        <w:spacing w:after="0" w:line="360" w:lineRule="auto"/>
        <w:rPr>
          <w:rFonts w:asciiTheme="majorBidi" w:hAnsiTheme="majorBidi" w:cstheme="majorBidi"/>
          <w:b/>
          <w:bCs/>
          <w:sz w:val="24"/>
          <w:szCs w:val="24"/>
          <w:rtl/>
        </w:rPr>
      </w:pPr>
      <w:r w:rsidRPr="00772011">
        <w:rPr>
          <w:rFonts w:asciiTheme="majorBidi" w:hAnsiTheme="majorBidi" w:cstheme="majorBidi"/>
          <w:b/>
          <w:bCs/>
          <w:sz w:val="24"/>
          <w:szCs w:val="24"/>
          <w:rtl/>
        </w:rPr>
        <w:t>הקושיה מיוכבד</w:t>
      </w:r>
    </w:p>
    <w:p w14:paraId="26E2EA9C" w14:textId="759E2077" w:rsidR="003906CD" w:rsidRPr="006534B3" w:rsidRDefault="00C95C9F" w:rsidP="00C95C9F">
      <w:pPr>
        <w:spacing w:after="0" w:line="360" w:lineRule="auto"/>
        <w:rPr>
          <w:rFonts w:asciiTheme="majorBidi" w:hAnsiTheme="majorBidi" w:cstheme="majorBidi"/>
          <w:sz w:val="24"/>
          <w:szCs w:val="24"/>
          <w:rtl/>
        </w:rPr>
      </w:pPr>
      <w:r w:rsidRPr="006534B3">
        <w:rPr>
          <w:rFonts w:asciiTheme="majorBidi" w:hAnsiTheme="majorBidi" w:cstheme="majorBidi"/>
          <w:sz w:val="24"/>
          <w:szCs w:val="24"/>
          <w:rtl/>
        </w:rPr>
        <w:t>שאלו בעלי ה</w:t>
      </w:r>
      <w:r w:rsidR="003906CD" w:rsidRPr="006534B3">
        <w:rPr>
          <w:rFonts w:asciiTheme="majorBidi" w:hAnsiTheme="majorBidi" w:cstheme="majorBidi"/>
          <w:sz w:val="24"/>
          <w:szCs w:val="24"/>
          <w:rtl/>
        </w:rPr>
        <w:t xml:space="preserve">תוספות </w:t>
      </w:r>
      <w:r w:rsidRPr="006534B3">
        <w:rPr>
          <w:rFonts w:asciiTheme="majorBidi" w:hAnsiTheme="majorBidi" w:cstheme="majorBidi" w:hint="cs"/>
          <w:sz w:val="24"/>
          <w:szCs w:val="24"/>
          <w:rtl/>
        </w:rPr>
        <w:t xml:space="preserve"> "</w:t>
      </w:r>
      <w:r w:rsidR="003906CD" w:rsidRPr="006534B3">
        <w:rPr>
          <w:rFonts w:ascii="David" w:hAnsi="David" w:cs="David"/>
          <w:sz w:val="24"/>
          <w:szCs w:val="24"/>
          <w:rtl/>
        </w:rPr>
        <w:t>ואם תאמר הרי יוכבד נולדה בין החומות ואותו העת עת רעב היה</w:t>
      </w:r>
      <w:r w:rsidR="007F52D3">
        <w:rPr>
          <w:rFonts w:ascii="David" w:hAnsi="David" w:cs="David" w:hint="cs"/>
          <w:sz w:val="24"/>
          <w:szCs w:val="24"/>
          <w:rtl/>
        </w:rPr>
        <w:t xml:space="preserve">, </w:t>
      </w:r>
      <w:r w:rsidR="003906CD" w:rsidRPr="006534B3">
        <w:rPr>
          <w:rFonts w:ascii="David" w:hAnsi="David" w:cs="David"/>
          <w:sz w:val="24"/>
          <w:szCs w:val="24"/>
          <w:rtl/>
        </w:rPr>
        <w:t>וע"כ שימשו מטותיהן בשני רעבון</w:t>
      </w:r>
      <w:r w:rsidR="007F52D3">
        <w:rPr>
          <w:rFonts w:ascii="David" w:hAnsi="David" w:cs="David" w:hint="cs"/>
          <w:sz w:val="24"/>
          <w:szCs w:val="24"/>
          <w:rtl/>
        </w:rPr>
        <w:t>.</w:t>
      </w:r>
      <w:r w:rsidR="003906CD" w:rsidRPr="006534B3">
        <w:rPr>
          <w:rFonts w:ascii="David" w:hAnsi="David" w:cs="David"/>
          <w:sz w:val="24"/>
          <w:szCs w:val="24"/>
          <w:rtl/>
        </w:rPr>
        <w:t xml:space="preserve"> ויש לומר דלכ"ע לא הוי אסור אלא למי שרוצה לנהוג עצמו בחסידות ויוסף לא שימש</w:t>
      </w:r>
      <w:r w:rsidR="00D32D64" w:rsidRPr="006534B3">
        <w:rPr>
          <w:rFonts w:ascii="David" w:hAnsi="David" w:cs="David" w:hint="cs"/>
          <w:sz w:val="24"/>
          <w:szCs w:val="24"/>
          <w:rtl/>
        </w:rPr>
        <w:t>,</w:t>
      </w:r>
      <w:r w:rsidR="003906CD" w:rsidRPr="006534B3">
        <w:rPr>
          <w:rFonts w:ascii="David" w:hAnsi="David" w:cs="David"/>
          <w:sz w:val="24"/>
          <w:szCs w:val="24"/>
          <w:rtl/>
        </w:rPr>
        <w:t xml:space="preserve"> אבל שאר בני אדם שימשו</w:t>
      </w:r>
      <w:r w:rsidR="00D32D64" w:rsidRPr="006534B3">
        <w:rPr>
          <w:rFonts w:ascii="David" w:hAnsi="David" w:cs="David" w:hint="cs"/>
          <w:sz w:val="24"/>
          <w:szCs w:val="24"/>
          <w:rtl/>
        </w:rPr>
        <w:t>"</w:t>
      </w:r>
      <w:r w:rsidR="003906CD" w:rsidRPr="006534B3">
        <w:rPr>
          <w:rFonts w:ascii="David" w:hAnsi="David" w:cs="David"/>
          <w:sz w:val="24"/>
          <w:szCs w:val="24"/>
          <w:rtl/>
        </w:rPr>
        <w:t>.</w:t>
      </w:r>
      <w:r w:rsidR="00D32D64" w:rsidRPr="006534B3">
        <w:rPr>
          <w:rFonts w:ascii="David" w:hAnsi="David" w:cs="David" w:hint="cs"/>
          <w:sz w:val="24"/>
          <w:szCs w:val="24"/>
          <w:rtl/>
        </w:rPr>
        <w:t xml:space="preserve"> </w:t>
      </w:r>
      <w:r w:rsidR="00D32D64" w:rsidRPr="006534B3">
        <w:rPr>
          <w:rFonts w:asciiTheme="majorBidi" w:hAnsiTheme="majorBidi" w:cstheme="majorBidi" w:hint="cs"/>
          <w:sz w:val="24"/>
          <w:szCs w:val="24"/>
          <w:rtl/>
        </w:rPr>
        <w:t>אם כן יוסף החמיר, ולוי לא. יתכן שהתירוץ נשען על כך שטרם נ</w:t>
      </w:r>
      <w:r w:rsidR="007F52D3">
        <w:rPr>
          <w:rFonts w:asciiTheme="majorBidi" w:hAnsiTheme="majorBidi" w:cstheme="majorBidi" w:hint="cs"/>
          <w:sz w:val="24"/>
          <w:szCs w:val="24"/>
          <w:rtl/>
        </w:rPr>
        <w:t>י</w:t>
      </w:r>
      <w:r w:rsidR="00D32D64" w:rsidRPr="006534B3">
        <w:rPr>
          <w:rFonts w:asciiTheme="majorBidi" w:hAnsiTheme="majorBidi" w:cstheme="majorBidi" w:hint="cs"/>
          <w:sz w:val="24"/>
          <w:szCs w:val="24"/>
          <w:rtl/>
        </w:rPr>
        <w:t>תנה תורה</w:t>
      </w:r>
      <w:r w:rsidR="00770D72" w:rsidRPr="006534B3">
        <w:rPr>
          <w:rStyle w:val="a9"/>
          <w:rFonts w:asciiTheme="majorBidi" w:hAnsiTheme="majorBidi" w:cstheme="majorBidi"/>
          <w:sz w:val="24"/>
          <w:szCs w:val="24"/>
          <w:rtl/>
        </w:rPr>
        <w:footnoteReference w:id="9"/>
      </w:r>
      <w:r w:rsidR="00D32D64" w:rsidRPr="006534B3">
        <w:rPr>
          <w:rFonts w:asciiTheme="majorBidi" w:hAnsiTheme="majorBidi" w:cstheme="majorBidi" w:hint="cs"/>
          <w:sz w:val="24"/>
          <w:szCs w:val="24"/>
          <w:rtl/>
        </w:rPr>
        <w:t>, אולם ניתן למצוא היתר</w:t>
      </w:r>
      <w:r w:rsidR="00FB2DB7" w:rsidRPr="006534B3">
        <w:rPr>
          <w:rFonts w:asciiTheme="majorBidi" w:hAnsiTheme="majorBidi" w:cstheme="majorBidi" w:hint="cs"/>
          <w:sz w:val="24"/>
          <w:szCs w:val="24"/>
          <w:rtl/>
        </w:rPr>
        <w:t>ים</w:t>
      </w:r>
      <w:r w:rsidR="00D32D64" w:rsidRPr="006534B3">
        <w:rPr>
          <w:rFonts w:asciiTheme="majorBidi" w:hAnsiTheme="majorBidi" w:cstheme="majorBidi" w:hint="cs"/>
          <w:sz w:val="24"/>
          <w:szCs w:val="24"/>
          <w:rtl/>
        </w:rPr>
        <w:t xml:space="preserve"> לשניהם על פי סוגייתנו:</w:t>
      </w:r>
    </w:p>
    <w:p w14:paraId="42F6CB72" w14:textId="7D29725A" w:rsidR="00770D72" w:rsidRPr="006534B3" w:rsidRDefault="00D32D64" w:rsidP="00770D72">
      <w:pPr>
        <w:spacing w:after="0" w:line="360" w:lineRule="auto"/>
        <w:rPr>
          <w:rFonts w:ascii="David" w:hAnsi="David" w:cs="David"/>
          <w:sz w:val="24"/>
          <w:szCs w:val="24"/>
          <w:rtl/>
        </w:rPr>
      </w:pPr>
      <w:r w:rsidRPr="006534B3">
        <w:rPr>
          <w:rFonts w:ascii="David" w:hAnsi="David" w:cs="David" w:hint="cs"/>
          <w:sz w:val="24"/>
          <w:szCs w:val="24"/>
          <w:rtl/>
        </w:rPr>
        <w:t>"</w:t>
      </w:r>
      <w:r w:rsidR="005A1E67" w:rsidRPr="006534B3">
        <w:rPr>
          <w:rFonts w:ascii="David" w:hAnsi="David" w:cs="David"/>
          <w:sz w:val="24"/>
          <w:szCs w:val="24"/>
          <w:rtl/>
        </w:rPr>
        <w:t>לוי ויוסף שלא קיימו פריה ורביה</w:t>
      </w:r>
      <w:r w:rsidR="00FB2DB7" w:rsidRPr="006534B3">
        <w:rPr>
          <w:rFonts w:ascii="David" w:hAnsi="David" w:cs="David" w:hint="cs"/>
          <w:sz w:val="24"/>
          <w:szCs w:val="24"/>
          <w:rtl/>
        </w:rPr>
        <w:t xml:space="preserve">, </w:t>
      </w:r>
      <w:r w:rsidR="005A1E67" w:rsidRPr="006534B3">
        <w:rPr>
          <w:rFonts w:ascii="David" w:hAnsi="David" w:cs="David"/>
          <w:sz w:val="24"/>
          <w:szCs w:val="24"/>
          <w:rtl/>
        </w:rPr>
        <w:t>עדיין להם מותר מדינא</w:t>
      </w:r>
      <w:r w:rsidR="007F52D3">
        <w:rPr>
          <w:rFonts w:ascii="David" w:hAnsi="David" w:cs="David" w:hint="cs"/>
          <w:sz w:val="24"/>
          <w:szCs w:val="24"/>
          <w:rtl/>
        </w:rPr>
        <w:t>,</w:t>
      </w:r>
      <w:r w:rsidR="005A1E67" w:rsidRPr="006534B3">
        <w:rPr>
          <w:rFonts w:ascii="David" w:hAnsi="David" w:cs="David"/>
          <w:sz w:val="24"/>
          <w:szCs w:val="24"/>
          <w:rtl/>
        </w:rPr>
        <w:t xml:space="preserve"> אך יוסף נהג בחסידות</w:t>
      </w:r>
      <w:r w:rsidRPr="006534B3">
        <w:rPr>
          <w:rStyle w:val="a9"/>
          <w:rFonts w:ascii="David" w:hAnsi="David" w:cs="David"/>
          <w:sz w:val="24"/>
          <w:szCs w:val="24"/>
          <w:rtl/>
        </w:rPr>
        <w:footnoteReference w:id="10"/>
      </w:r>
      <w:r w:rsidRPr="006534B3">
        <w:rPr>
          <w:rFonts w:ascii="David" w:hAnsi="David" w:cs="David" w:hint="cs"/>
          <w:sz w:val="24"/>
          <w:szCs w:val="24"/>
          <w:rtl/>
        </w:rPr>
        <w:t>"</w:t>
      </w:r>
      <w:r w:rsidR="00D968DA" w:rsidRPr="006534B3">
        <w:rPr>
          <w:rFonts w:ascii="David" w:hAnsi="David" w:cs="David" w:hint="cs"/>
          <w:sz w:val="24"/>
          <w:szCs w:val="24"/>
          <w:rtl/>
        </w:rPr>
        <w:t xml:space="preserve">. </w:t>
      </w:r>
      <w:r w:rsidR="00FB2DB7" w:rsidRPr="006534B3">
        <w:rPr>
          <w:rFonts w:ascii="David" w:hAnsi="David" w:cs="David" w:hint="cs"/>
          <w:sz w:val="24"/>
          <w:szCs w:val="24"/>
          <w:rtl/>
        </w:rPr>
        <w:t>"</w:t>
      </w:r>
      <w:r w:rsidR="00FB2DB7" w:rsidRPr="006534B3">
        <w:rPr>
          <w:rFonts w:ascii="David" w:hAnsi="David" w:cs="David"/>
          <w:sz w:val="24"/>
          <w:szCs w:val="24"/>
          <w:rtl/>
        </w:rPr>
        <w:t>בין יוסף בין לוי</w:t>
      </w:r>
      <w:r w:rsidR="00D968DA" w:rsidRPr="006534B3">
        <w:rPr>
          <w:rFonts w:ascii="David" w:hAnsi="David" w:cs="David" w:hint="cs"/>
          <w:sz w:val="24"/>
          <w:szCs w:val="24"/>
          <w:rtl/>
        </w:rPr>
        <w:t>,</w:t>
      </w:r>
      <w:r w:rsidR="00FB2DB7" w:rsidRPr="006534B3">
        <w:rPr>
          <w:rFonts w:ascii="David" w:hAnsi="David" w:cs="David"/>
          <w:sz w:val="24"/>
          <w:szCs w:val="24"/>
          <w:rtl/>
        </w:rPr>
        <w:t xml:space="preserve"> כיון שלא היה להם עדיין בת ולא קיימו פריה ורביה </w:t>
      </w:r>
      <w:r w:rsidR="00FB2DB7" w:rsidRPr="006534B3">
        <w:rPr>
          <w:rFonts w:ascii="David" w:hAnsi="David" w:cs="David" w:hint="cs"/>
          <w:sz w:val="24"/>
          <w:szCs w:val="24"/>
          <w:rtl/>
        </w:rPr>
        <w:t>-</w:t>
      </w:r>
      <w:r w:rsidR="00FB2DB7" w:rsidRPr="006534B3">
        <w:rPr>
          <w:rFonts w:ascii="David" w:hAnsi="David" w:cs="David"/>
          <w:sz w:val="24"/>
          <w:szCs w:val="24"/>
          <w:rtl/>
        </w:rPr>
        <w:t>מותרין היו לשמש. וקרא יתירא דבטרם תבוא שנת הרעב</w:t>
      </w:r>
      <w:r w:rsidR="007F52D3">
        <w:rPr>
          <w:rFonts w:ascii="David" w:hAnsi="David" w:cs="David" w:hint="cs"/>
          <w:sz w:val="24"/>
          <w:szCs w:val="24"/>
          <w:rtl/>
        </w:rPr>
        <w:t>-</w:t>
      </w:r>
      <w:r w:rsidR="00FB2DB7" w:rsidRPr="006534B3">
        <w:rPr>
          <w:rFonts w:ascii="David" w:hAnsi="David" w:cs="David"/>
          <w:sz w:val="24"/>
          <w:szCs w:val="24"/>
          <w:rtl/>
        </w:rPr>
        <w:t xml:space="preserve"> ללמד על אחרים שקיימו פריה ורביה כבר הוא דקאתו</w:t>
      </w:r>
      <w:r w:rsidR="00FB2DB7" w:rsidRPr="006534B3">
        <w:rPr>
          <w:rStyle w:val="a9"/>
          <w:rFonts w:ascii="David" w:hAnsi="David" w:cs="David"/>
          <w:sz w:val="24"/>
          <w:szCs w:val="24"/>
          <w:rtl/>
        </w:rPr>
        <w:footnoteReference w:id="11"/>
      </w:r>
      <w:r w:rsidR="00FB2DB7" w:rsidRPr="006534B3">
        <w:rPr>
          <w:rFonts w:ascii="David" w:hAnsi="David" w:cs="David" w:hint="cs"/>
          <w:sz w:val="24"/>
          <w:szCs w:val="24"/>
          <w:rtl/>
        </w:rPr>
        <w:t>".</w:t>
      </w:r>
      <w:r w:rsidR="00770D72" w:rsidRPr="006534B3">
        <w:rPr>
          <w:rFonts w:ascii="David" w:hAnsi="David" w:cs="David" w:hint="cs"/>
          <w:sz w:val="24"/>
          <w:szCs w:val="24"/>
          <w:rtl/>
        </w:rPr>
        <w:t xml:space="preserve"> </w:t>
      </w:r>
      <w:r w:rsidR="00770D72" w:rsidRPr="006534B3">
        <w:rPr>
          <w:rFonts w:asciiTheme="majorBidi" w:hAnsiTheme="majorBidi" w:cstheme="majorBidi" w:hint="cs"/>
          <w:sz w:val="24"/>
          <w:szCs w:val="24"/>
          <w:rtl/>
        </w:rPr>
        <w:t xml:space="preserve">הרא"ם כתב: </w:t>
      </w:r>
      <w:r w:rsidR="00770D72" w:rsidRPr="006534B3">
        <w:rPr>
          <w:rFonts w:ascii="David" w:hAnsi="David" w:cs="David" w:hint="cs"/>
          <w:sz w:val="24"/>
          <w:szCs w:val="24"/>
          <w:rtl/>
        </w:rPr>
        <w:t>"</w:t>
      </w:r>
      <w:r w:rsidR="00770D72" w:rsidRPr="006534B3">
        <w:rPr>
          <w:rFonts w:ascii="David" w:hAnsi="David" w:cs="David"/>
          <w:sz w:val="24"/>
          <w:szCs w:val="24"/>
          <w:rtl/>
        </w:rPr>
        <w:t>כיון דאי אפשר לבטל מפריה ורביה אלא אם כן יש לו נקבה בכלל בניו</w:t>
      </w:r>
      <w:r w:rsidR="00770D72" w:rsidRPr="006534B3">
        <w:rPr>
          <w:rStyle w:val="a9"/>
          <w:rFonts w:ascii="David" w:hAnsi="David" w:cs="David"/>
          <w:sz w:val="24"/>
          <w:szCs w:val="24"/>
          <w:rtl/>
        </w:rPr>
        <w:footnoteReference w:id="12"/>
      </w:r>
      <w:r w:rsidR="00770D72" w:rsidRPr="006534B3">
        <w:rPr>
          <w:rFonts w:ascii="David" w:hAnsi="David" w:cs="David" w:hint="cs"/>
          <w:sz w:val="24"/>
          <w:szCs w:val="24"/>
          <w:rtl/>
        </w:rPr>
        <w:t xml:space="preserve">". </w:t>
      </w:r>
    </w:p>
    <w:p w14:paraId="2AD1E155" w14:textId="17A269B5" w:rsidR="00FB2DB7" w:rsidRPr="006534B3" w:rsidRDefault="00770D72" w:rsidP="00D968DA">
      <w:pPr>
        <w:spacing w:after="0" w:line="360" w:lineRule="auto"/>
        <w:rPr>
          <w:rFonts w:ascii="David" w:hAnsi="David" w:cs="David"/>
          <w:sz w:val="24"/>
          <w:szCs w:val="24"/>
          <w:rtl/>
        </w:rPr>
      </w:pPr>
      <w:r w:rsidRPr="006534B3">
        <w:rPr>
          <w:rFonts w:ascii="David" w:hAnsi="David" w:cs="David" w:hint="cs"/>
          <w:sz w:val="24"/>
          <w:szCs w:val="24"/>
          <w:rtl/>
        </w:rPr>
        <w:t>"</w:t>
      </w:r>
      <w:r w:rsidRPr="006534B3">
        <w:rPr>
          <w:rFonts w:ascii="David" w:hAnsi="David" w:cs="David"/>
          <w:sz w:val="24"/>
          <w:szCs w:val="24"/>
          <w:rtl/>
        </w:rPr>
        <w:t>וקשה לי דאם כן גם יוסף היה מותר לשמש שלא היתה לו בת</w:t>
      </w:r>
      <w:r w:rsidRPr="006534B3">
        <w:rPr>
          <w:rFonts w:ascii="David" w:hAnsi="David" w:cs="David" w:hint="cs"/>
          <w:sz w:val="24"/>
          <w:szCs w:val="24"/>
          <w:rtl/>
        </w:rPr>
        <w:t xml:space="preserve">, </w:t>
      </w:r>
      <w:r w:rsidRPr="006534B3">
        <w:rPr>
          <w:rFonts w:ascii="David" w:hAnsi="David" w:cs="David"/>
          <w:sz w:val="24"/>
          <w:szCs w:val="24"/>
          <w:rtl/>
        </w:rPr>
        <w:t>דאם כן היה מונה אותה הכתוב בשבעים נפש</w:t>
      </w:r>
      <w:r w:rsidRPr="006534B3">
        <w:rPr>
          <w:rStyle w:val="a9"/>
          <w:rFonts w:ascii="David" w:hAnsi="David" w:cs="David"/>
          <w:sz w:val="24"/>
          <w:szCs w:val="24"/>
          <w:rtl/>
        </w:rPr>
        <w:footnoteReference w:id="13"/>
      </w:r>
      <w:r w:rsidR="00D968DA" w:rsidRPr="006534B3">
        <w:rPr>
          <w:rFonts w:ascii="David" w:hAnsi="David" w:cs="David" w:hint="cs"/>
          <w:sz w:val="24"/>
          <w:szCs w:val="24"/>
          <w:rtl/>
        </w:rPr>
        <w:t>"</w:t>
      </w:r>
      <w:r w:rsidRPr="006534B3">
        <w:rPr>
          <w:rFonts w:ascii="David" w:hAnsi="David" w:cs="David"/>
          <w:sz w:val="24"/>
          <w:szCs w:val="24"/>
          <w:rtl/>
        </w:rPr>
        <w:t>.</w:t>
      </w:r>
      <w:r w:rsidR="00D968DA" w:rsidRPr="006534B3">
        <w:rPr>
          <w:rFonts w:ascii="David" w:hAnsi="David" w:cs="David" w:hint="cs"/>
          <w:sz w:val="24"/>
          <w:szCs w:val="24"/>
          <w:rtl/>
        </w:rPr>
        <w:t xml:space="preserve"> </w:t>
      </w:r>
      <w:r w:rsidR="00FB2DB7" w:rsidRPr="006534B3">
        <w:rPr>
          <w:rFonts w:asciiTheme="majorBidi" w:hAnsiTheme="majorBidi" w:cstheme="majorBidi" w:hint="cs"/>
          <w:sz w:val="24"/>
          <w:szCs w:val="24"/>
          <w:rtl/>
        </w:rPr>
        <w:t>בדומה לכך הציע המהרש"א: "</w:t>
      </w:r>
      <w:r w:rsidR="00FB2DB7" w:rsidRPr="006534B3">
        <w:rPr>
          <w:rFonts w:ascii="David" w:hAnsi="David" w:cs="David"/>
          <w:sz w:val="24"/>
          <w:szCs w:val="24"/>
          <w:rtl/>
        </w:rPr>
        <w:t>דאשת לוי נתעברה בליל טבילה ויוסף ממדת חסידות היה פורש גם בליל טבילה ואנן גמרינן איסורא מיוסף</w:t>
      </w:r>
      <w:r w:rsidR="007F52D3">
        <w:rPr>
          <w:rFonts w:ascii="David" w:hAnsi="David" w:cs="David" w:hint="cs"/>
          <w:sz w:val="24"/>
          <w:szCs w:val="24"/>
          <w:rtl/>
        </w:rPr>
        <w:t>,</w:t>
      </w:r>
      <w:r w:rsidR="00FB2DB7" w:rsidRPr="006534B3">
        <w:rPr>
          <w:rFonts w:ascii="David" w:hAnsi="David" w:cs="David"/>
          <w:sz w:val="24"/>
          <w:szCs w:val="24"/>
          <w:rtl/>
        </w:rPr>
        <w:t xml:space="preserve"> דאי לאו איסור גמור בלא ליל טבילה</w:t>
      </w:r>
      <w:r w:rsidR="007F52D3">
        <w:rPr>
          <w:rFonts w:ascii="David" w:hAnsi="David" w:cs="David" w:hint="cs"/>
          <w:sz w:val="24"/>
          <w:szCs w:val="24"/>
          <w:rtl/>
        </w:rPr>
        <w:t>,</w:t>
      </w:r>
      <w:r w:rsidR="00FB2DB7" w:rsidRPr="006534B3">
        <w:rPr>
          <w:rFonts w:ascii="David" w:hAnsi="David" w:cs="David"/>
          <w:sz w:val="24"/>
          <w:szCs w:val="24"/>
          <w:rtl/>
        </w:rPr>
        <w:t xml:space="preserve"> לא היה מחמיר על עצמו בליל טבילה לבטל מצות עונה</w:t>
      </w:r>
      <w:r w:rsidR="00FB2DB7" w:rsidRPr="006534B3">
        <w:rPr>
          <w:rFonts w:ascii="David" w:hAnsi="David" w:cs="David" w:hint="cs"/>
          <w:sz w:val="24"/>
          <w:szCs w:val="24"/>
          <w:rtl/>
        </w:rPr>
        <w:t>"</w:t>
      </w:r>
      <w:r w:rsidR="00FB2DB7" w:rsidRPr="006534B3">
        <w:rPr>
          <w:rFonts w:ascii="David" w:hAnsi="David" w:cs="David"/>
          <w:sz w:val="24"/>
          <w:szCs w:val="24"/>
          <w:rtl/>
        </w:rPr>
        <w:t xml:space="preserve">. </w:t>
      </w:r>
      <w:r w:rsidR="00D32D64" w:rsidRPr="006534B3">
        <w:rPr>
          <w:rFonts w:asciiTheme="majorBidi" w:hAnsiTheme="majorBidi" w:cstheme="majorBidi"/>
          <w:sz w:val="24"/>
          <w:szCs w:val="24"/>
          <w:rtl/>
        </w:rPr>
        <w:t>המאירי והריטב"א סוברים שמצבם של השבטים הוא שקבע:</w:t>
      </w:r>
      <w:r w:rsidR="00D32D64" w:rsidRPr="006534B3">
        <w:rPr>
          <w:rFonts w:asciiTheme="majorBidi" w:hAnsiTheme="majorBidi" w:cstheme="majorBidi" w:hint="cs"/>
          <w:sz w:val="24"/>
          <w:szCs w:val="24"/>
          <w:rtl/>
        </w:rPr>
        <w:t xml:space="preserve">  </w:t>
      </w:r>
      <w:r w:rsidR="00D32D64" w:rsidRPr="006534B3">
        <w:rPr>
          <w:rFonts w:ascii="David" w:hAnsi="David" w:cs="David" w:hint="cs"/>
          <w:sz w:val="24"/>
          <w:szCs w:val="24"/>
          <w:rtl/>
        </w:rPr>
        <w:t>"</w:t>
      </w:r>
      <w:r w:rsidR="00D32D64" w:rsidRPr="006534B3">
        <w:rPr>
          <w:rFonts w:ascii="David" w:hAnsi="David" w:cs="David"/>
          <w:sz w:val="24"/>
          <w:szCs w:val="24"/>
          <w:rtl/>
        </w:rPr>
        <w:t>בזמן ירידתם למצרים לא היה רעב לארץ כנען</w:t>
      </w:r>
      <w:r w:rsidR="00D32D64" w:rsidRPr="006534B3">
        <w:rPr>
          <w:rStyle w:val="a9"/>
          <w:rFonts w:ascii="David" w:hAnsi="David" w:cs="David"/>
          <w:sz w:val="24"/>
          <w:szCs w:val="24"/>
          <w:rtl/>
        </w:rPr>
        <w:footnoteReference w:id="14"/>
      </w:r>
      <w:r w:rsidR="00D32D64" w:rsidRPr="006534B3">
        <w:rPr>
          <w:rFonts w:ascii="David" w:hAnsi="David" w:cs="David" w:hint="cs"/>
          <w:sz w:val="24"/>
          <w:szCs w:val="24"/>
          <w:rtl/>
        </w:rPr>
        <w:t>" "</w:t>
      </w:r>
      <w:r w:rsidR="005A1E67" w:rsidRPr="006534B3">
        <w:rPr>
          <w:rFonts w:ascii="David" w:hAnsi="David" w:cs="David"/>
          <w:sz w:val="24"/>
          <w:szCs w:val="24"/>
          <w:rtl/>
        </w:rPr>
        <w:t>וי"ל דעל רעב של גויים אין לנו להצטער, אלא שיוסף היה מצטער מפני שהיה סבור כי אביו ואחיו היו ברעבון</w:t>
      </w:r>
      <w:r w:rsidR="00D32D64" w:rsidRPr="006534B3">
        <w:rPr>
          <w:rStyle w:val="a9"/>
          <w:rFonts w:ascii="David" w:hAnsi="David" w:cs="David"/>
          <w:sz w:val="24"/>
          <w:szCs w:val="24"/>
          <w:rtl/>
        </w:rPr>
        <w:footnoteReference w:id="15"/>
      </w:r>
      <w:r w:rsidR="00D32D64" w:rsidRPr="006534B3">
        <w:rPr>
          <w:rFonts w:ascii="David" w:hAnsi="David" w:cs="David" w:hint="cs"/>
          <w:sz w:val="24"/>
          <w:szCs w:val="24"/>
          <w:rtl/>
        </w:rPr>
        <w:t>"</w:t>
      </w:r>
      <w:r w:rsidR="005A1E67" w:rsidRPr="006534B3">
        <w:rPr>
          <w:rFonts w:ascii="David" w:hAnsi="David" w:cs="David"/>
          <w:sz w:val="24"/>
          <w:szCs w:val="24"/>
          <w:rtl/>
        </w:rPr>
        <w:t>.</w:t>
      </w:r>
      <w:r w:rsidR="00D32D64" w:rsidRPr="006534B3">
        <w:rPr>
          <w:rFonts w:ascii="David" w:hAnsi="David" w:cs="David" w:hint="cs"/>
          <w:sz w:val="24"/>
          <w:szCs w:val="24"/>
          <w:rtl/>
        </w:rPr>
        <w:t xml:space="preserve"> </w:t>
      </w:r>
      <w:r w:rsidR="00D32D64" w:rsidRPr="006534B3">
        <w:rPr>
          <w:rFonts w:asciiTheme="majorBidi" w:hAnsiTheme="majorBidi" w:cstheme="majorBidi" w:hint="cs"/>
          <w:sz w:val="24"/>
          <w:szCs w:val="24"/>
          <w:rtl/>
        </w:rPr>
        <w:t xml:space="preserve">על כך ניתן להקשות: </w:t>
      </w:r>
      <w:r w:rsidR="00D32D64" w:rsidRPr="006534B3">
        <w:rPr>
          <w:rFonts w:ascii="David" w:hAnsi="David" w:cs="David" w:hint="cs"/>
          <w:sz w:val="24"/>
          <w:szCs w:val="24"/>
          <w:rtl/>
        </w:rPr>
        <w:t>"</w:t>
      </w:r>
      <w:r w:rsidR="00D32D64" w:rsidRPr="006534B3">
        <w:rPr>
          <w:rFonts w:ascii="David" w:hAnsi="David" w:cs="David"/>
          <w:sz w:val="24"/>
          <w:szCs w:val="24"/>
          <w:rtl/>
        </w:rPr>
        <w:t>ואיך יחשוב כן, והוא נתן להם למדי שבר כאשר יוכלון שאת</w:t>
      </w:r>
      <w:r w:rsidR="00D32D64" w:rsidRPr="006534B3">
        <w:rPr>
          <w:rStyle w:val="a9"/>
          <w:rFonts w:ascii="David" w:hAnsi="David" w:cs="David"/>
          <w:sz w:val="24"/>
          <w:szCs w:val="24"/>
          <w:rtl/>
        </w:rPr>
        <w:footnoteReference w:id="16"/>
      </w:r>
      <w:r w:rsidR="00D32D64" w:rsidRPr="006534B3">
        <w:rPr>
          <w:rFonts w:ascii="David" w:hAnsi="David" w:cs="David" w:hint="cs"/>
          <w:sz w:val="24"/>
          <w:szCs w:val="24"/>
          <w:rtl/>
        </w:rPr>
        <w:t>"</w:t>
      </w:r>
      <w:r w:rsidR="00D32D64" w:rsidRPr="006534B3">
        <w:rPr>
          <w:rFonts w:ascii="David" w:hAnsi="David" w:cs="David"/>
          <w:sz w:val="24"/>
          <w:szCs w:val="24"/>
          <w:rtl/>
        </w:rPr>
        <w:t>.</w:t>
      </w:r>
      <w:r w:rsidR="00D32D64" w:rsidRPr="006534B3">
        <w:rPr>
          <w:rFonts w:asciiTheme="majorBidi" w:hAnsiTheme="majorBidi" w:cstheme="majorBidi" w:hint="cs"/>
          <w:sz w:val="24"/>
          <w:szCs w:val="24"/>
          <w:rtl/>
        </w:rPr>
        <w:t xml:space="preserve"> </w:t>
      </w:r>
      <w:r w:rsidR="00FB2DB7" w:rsidRPr="006534B3">
        <w:rPr>
          <w:rFonts w:asciiTheme="majorBidi" w:hAnsiTheme="majorBidi" w:cstheme="majorBidi" w:hint="cs"/>
          <w:sz w:val="24"/>
          <w:szCs w:val="24"/>
          <w:rtl/>
        </w:rPr>
        <w:t xml:space="preserve">על דברי התוספות הגיב בעל תורה תמימה בתובנה מיוחדת המהפכת את החשיבה: </w:t>
      </w:r>
      <w:r w:rsidR="00FB2DB7" w:rsidRPr="006534B3">
        <w:rPr>
          <w:rFonts w:ascii="David" w:hAnsi="David" w:cs="David"/>
          <w:sz w:val="24"/>
          <w:szCs w:val="24"/>
          <w:rtl/>
        </w:rPr>
        <w:t xml:space="preserve"> </w:t>
      </w:r>
      <w:r w:rsidR="00FB2DB7" w:rsidRPr="006534B3">
        <w:rPr>
          <w:rFonts w:ascii="David" w:hAnsi="David" w:cs="David" w:hint="cs"/>
          <w:sz w:val="24"/>
          <w:szCs w:val="24"/>
          <w:rtl/>
        </w:rPr>
        <w:t>"</w:t>
      </w:r>
      <w:r w:rsidR="00FB2DB7" w:rsidRPr="006534B3">
        <w:rPr>
          <w:rFonts w:ascii="David" w:hAnsi="David" w:cs="David"/>
          <w:sz w:val="24"/>
          <w:szCs w:val="24"/>
          <w:rtl/>
        </w:rPr>
        <w:t>והנה קשה מאד לומר על לוי בן יעקב שנהג עצמו כאחד ההמונים, והלא עליו אמר משה</w:t>
      </w:r>
      <w:r w:rsidR="007F52D3">
        <w:rPr>
          <w:rFonts w:ascii="David" w:hAnsi="David" w:cs="David" w:hint="cs"/>
          <w:sz w:val="24"/>
          <w:szCs w:val="24"/>
          <w:rtl/>
        </w:rPr>
        <w:t>:</w:t>
      </w:r>
      <w:r w:rsidR="00FB2DB7" w:rsidRPr="006534B3">
        <w:rPr>
          <w:rFonts w:ascii="David" w:hAnsi="David" w:cs="David"/>
          <w:sz w:val="24"/>
          <w:szCs w:val="24"/>
          <w:rtl/>
        </w:rPr>
        <w:t xml:space="preserve"> </w:t>
      </w:r>
      <w:r w:rsidR="007F52D3">
        <w:rPr>
          <w:rFonts w:ascii="David" w:hAnsi="David" w:cs="David" w:hint="cs"/>
          <w:sz w:val="24"/>
          <w:szCs w:val="24"/>
          <w:rtl/>
        </w:rPr>
        <w:t>'</w:t>
      </w:r>
      <w:r w:rsidR="00FB2DB7" w:rsidRPr="006534B3">
        <w:rPr>
          <w:rFonts w:ascii="David" w:hAnsi="David" w:cs="David"/>
          <w:sz w:val="24"/>
          <w:szCs w:val="24"/>
          <w:rtl/>
        </w:rPr>
        <w:t>תמיך ואוריך לאיש חסידך</w:t>
      </w:r>
      <w:r w:rsidR="007F52D3">
        <w:rPr>
          <w:rFonts w:ascii="David" w:hAnsi="David" w:cs="David" w:hint="cs"/>
          <w:sz w:val="24"/>
          <w:szCs w:val="24"/>
          <w:rtl/>
        </w:rPr>
        <w:t>'</w:t>
      </w:r>
      <w:r w:rsidR="00FB2DB7" w:rsidRPr="006534B3">
        <w:rPr>
          <w:rFonts w:ascii="David" w:hAnsi="David" w:cs="David"/>
          <w:sz w:val="24"/>
          <w:szCs w:val="24"/>
          <w:rtl/>
        </w:rPr>
        <w:t xml:space="preserve"> </w:t>
      </w:r>
      <w:r w:rsidR="00FB2DB7" w:rsidRPr="006534B3">
        <w:rPr>
          <w:rFonts w:ascii="David" w:hAnsi="David" w:cs="David"/>
          <w:sz w:val="18"/>
          <w:szCs w:val="18"/>
          <w:rtl/>
        </w:rPr>
        <w:t xml:space="preserve">(פ' ברכה), </w:t>
      </w:r>
      <w:r w:rsidR="00FB2DB7" w:rsidRPr="006534B3">
        <w:rPr>
          <w:rFonts w:ascii="David" w:hAnsi="David" w:cs="David"/>
          <w:sz w:val="24"/>
          <w:szCs w:val="24"/>
          <w:rtl/>
        </w:rPr>
        <w:t>ושבט זה לא השתתף במעשה העגל, הרי שהיה מצויין בקדושה ופרישות, ונראה באור דבריהם, דבאמת לאיש שהוא מסובל בצער הרעב</w:t>
      </w:r>
      <w:r w:rsidR="007F52D3">
        <w:rPr>
          <w:rFonts w:ascii="David" w:hAnsi="David" w:cs="David" w:hint="cs"/>
          <w:sz w:val="24"/>
          <w:szCs w:val="24"/>
          <w:rtl/>
        </w:rPr>
        <w:t>,</w:t>
      </w:r>
      <w:r w:rsidR="00FB2DB7" w:rsidRPr="006534B3">
        <w:rPr>
          <w:rFonts w:ascii="David" w:hAnsi="David" w:cs="David"/>
          <w:sz w:val="24"/>
          <w:szCs w:val="24"/>
          <w:rtl/>
        </w:rPr>
        <w:t xml:space="preserve"> אין סברא להוסיף צער במניעת תה"מ שנקרא ענוי </w:t>
      </w:r>
      <w:r w:rsidR="00FB2DB7" w:rsidRPr="006534B3">
        <w:rPr>
          <w:rFonts w:ascii="David" w:hAnsi="David" w:cs="David"/>
          <w:sz w:val="18"/>
          <w:szCs w:val="18"/>
          <w:rtl/>
        </w:rPr>
        <w:t>[ע"ל ס"פ ויצא],</w:t>
      </w:r>
      <w:r w:rsidR="00FB2DB7" w:rsidRPr="006534B3">
        <w:rPr>
          <w:rFonts w:ascii="David" w:hAnsi="David" w:cs="David"/>
          <w:sz w:val="24"/>
          <w:szCs w:val="24"/>
          <w:rtl/>
        </w:rPr>
        <w:t xml:space="preserve"> אלא </w:t>
      </w:r>
      <w:r w:rsidR="00FB2DB7" w:rsidRPr="006534B3">
        <w:rPr>
          <w:rFonts w:ascii="David" w:hAnsi="David" w:cs="David"/>
          <w:b/>
          <w:bCs/>
          <w:sz w:val="24"/>
          <w:szCs w:val="24"/>
          <w:rtl/>
        </w:rPr>
        <w:t>רק למי שאין לו כל צער ודאגה מחמת הרעב</w:t>
      </w:r>
      <w:r w:rsidR="00FB2DB7" w:rsidRPr="006534B3">
        <w:rPr>
          <w:rFonts w:ascii="David" w:hAnsi="David" w:cs="David"/>
          <w:sz w:val="24"/>
          <w:szCs w:val="24"/>
          <w:rtl/>
        </w:rPr>
        <w:t xml:space="preserve">, כמו עשירים גדולים ובעלי אוצרות תבואה וכדומה, כמו יוסף, להם ראוי להשתתף עם הצבור בצער זה תמורת צער הרעב שאין מרגישים בו. ולפי זה ניחא קושייתם מלוי, כיון דיעקב וביתו היו טרודים בצער הרעב כמבואר </w:t>
      </w:r>
      <w:r w:rsidR="00FB2DB7" w:rsidRPr="006534B3">
        <w:rPr>
          <w:rFonts w:ascii="David" w:hAnsi="David" w:cs="David"/>
          <w:sz w:val="24"/>
          <w:szCs w:val="24"/>
          <w:rtl/>
        </w:rPr>
        <w:lastRenderedPageBreak/>
        <w:t>בפרשה הבאה לא היו מחויבים כלל במניעת תה"מ. וע"פ זה מבואר מה שהביאו בגמרא סמוך לדין זה האגדה דכל המשתתף עם הצבור רואה בנחמת צבור</w:t>
      </w:r>
      <w:r w:rsidR="00FB2DB7" w:rsidRPr="006534B3">
        <w:rPr>
          <w:rFonts w:ascii="David" w:hAnsi="David" w:cs="David" w:hint="cs"/>
          <w:sz w:val="24"/>
          <w:szCs w:val="24"/>
          <w:rtl/>
        </w:rPr>
        <w:t xml:space="preserve">.. </w:t>
      </w:r>
      <w:r w:rsidR="00FB2DB7" w:rsidRPr="006534B3">
        <w:rPr>
          <w:rFonts w:ascii="David" w:hAnsi="David" w:cs="David"/>
          <w:sz w:val="24"/>
          <w:szCs w:val="24"/>
          <w:rtl/>
        </w:rPr>
        <w:t>דכיון דמביא ראי' מיוסף שמכיון שהוא לא הרגיש בצער ודאגת הרעב לכן ראה להשתתף בצער הצבור</w:t>
      </w:r>
      <w:r w:rsidR="00FB2DB7" w:rsidRPr="006534B3">
        <w:rPr>
          <w:rStyle w:val="a9"/>
          <w:rFonts w:ascii="David" w:hAnsi="David" w:cs="David"/>
          <w:sz w:val="24"/>
          <w:szCs w:val="24"/>
          <w:rtl/>
        </w:rPr>
        <w:footnoteReference w:id="17"/>
      </w:r>
      <w:r w:rsidR="00FB2DB7" w:rsidRPr="006534B3">
        <w:rPr>
          <w:rFonts w:ascii="David" w:hAnsi="David" w:cs="David" w:hint="cs"/>
          <w:sz w:val="24"/>
          <w:szCs w:val="24"/>
          <w:rtl/>
        </w:rPr>
        <w:t>"</w:t>
      </w:r>
      <w:r w:rsidRPr="006534B3">
        <w:rPr>
          <w:rFonts w:asciiTheme="majorBidi" w:hAnsiTheme="majorBidi" w:cstheme="majorBidi" w:hint="cs"/>
          <w:sz w:val="24"/>
          <w:szCs w:val="24"/>
          <w:rtl/>
        </w:rPr>
        <w:t>.</w:t>
      </w:r>
    </w:p>
    <w:p w14:paraId="08FE4904" w14:textId="51BE25DF" w:rsidR="00D968DA" w:rsidRPr="006534B3" w:rsidRDefault="00D32D64" w:rsidP="00D968DA">
      <w:pPr>
        <w:spacing w:after="0" w:line="360" w:lineRule="auto"/>
        <w:rPr>
          <w:rFonts w:ascii="David" w:hAnsi="David" w:cs="David"/>
          <w:sz w:val="24"/>
          <w:szCs w:val="24"/>
          <w:rtl/>
        </w:rPr>
      </w:pPr>
      <w:r w:rsidRPr="006534B3">
        <w:rPr>
          <w:rFonts w:asciiTheme="majorBidi" w:hAnsiTheme="majorBidi" w:cstheme="majorBidi" w:hint="cs"/>
          <w:sz w:val="24"/>
          <w:szCs w:val="24"/>
          <w:rtl/>
        </w:rPr>
        <w:t>הר"ן משלב גם את יוסף בציבור שצערם גורר איסור: "</w:t>
      </w:r>
      <w:r w:rsidR="00675EAE" w:rsidRPr="006534B3">
        <w:rPr>
          <w:rFonts w:ascii="David" w:hAnsi="David" w:cs="David" w:hint="cs"/>
          <w:sz w:val="24"/>
          <w:szCs w:val="24"/>
          <w:rtl/>
        </w:rPr>
        <w:t>איסור תשמיש בשני רעבון אינו אלא משום שישראל שרויין בצער</w:t>
      </w:r>
      <w:r w:rsidR="007F52D3">
        <w:rPr>
          <w:rFonts w:ascii="David" w:hAnsi="David" w:cs="David" w:hint="cs"/>
          <w:sz w:val="24"/>
          <w:szCs w:val="24"/>
          <w:rtl/>
        </w:rPr>
        <w:t>,</w:t>
      </w:r>
      <w:r w:rsidR="00675EAE" w:rsidRPr="006534B3">
        <w:rPr>
          <w:rFonts w:ascii="David" w:hAnsi="David" w:cs="David" w:hint="cs"/>
          <w:sz w:val="24"/>
          <w:szCs w:val="24"/>
          <w:rtl/>
        </w:rPr>
        <w:t xml:space="preserve"> ויורדי מצרים היו יודעים בעצמן שהן שבעים. ויוסף נמי יודעין היו בו שהוא שרוי ברווח</w:t>
      </w:r>
      <w:r w:rsidR="00B917EB" w:rsidRPr="006534B3">
        <w:rPr>
          <w:rStyle w:val="a9"/>
          <w:rFonts w:ascii="David" w:hAnsi="David" w:cs="David"/>
          <w:sz w:val="24"/>
          <w:szCs w:val="24"/>
          <w:rtl/>
        </w:rPr>
        <w:footnoteReference w:id="18"/>
      </w:r>
      <w:r w:rsidR="00675EAE" w:rsidRPr="006534B3">
        <w:rPr>
          <w:rFonts w:ascii="David" w:hAnsi="David" w:cs="David" w:hint="cs"/>
          <w:sz w:val="24"/>
          <w:szCs w:val="24"/>
          <w:rtl/>
        </w:rPr>
        <w:t>. אבל יוסף היה סבור שהן שרויין בצער</w:t>
      </w:r>
      <w:r w:rsidRPr="006534B3">
        <w:rPr>
          <w:rStyle w:val="a9"/>
          <w:rFonts w:ascii="David" w:hAnsi="David" w:cs="David"/>
          <w:sz w:val="24"/>
          <w:szCs w:val="24"/>
          <w:rtl/>
        </w:rPr>
        <w:footnoteReference w:id="19"/>
      </w:r>
      <w:r w:rsidRPr="006534B3">
        <w:rPr>
          <w:rFonts w:ascii="David" w:hAnsi="David" w:cs="David" w:hint="cs"/>
          <w:sz w:val="24"/>
          <w:szCs w:val="24"/>
          <w:rtl/>
        </w:rPr>
        <w:t>"</w:t>
      </w:r>
      <w:r w:rsidR="00675EAE" w:rsidRPr="006534B3">
        <w:rPr>
          <w:rFonts w:ascii="David" w:hAnsi="David" w:cs="David" w:hint="cs"/>
          <w:sz w:val="24"/>
          <w:szCs w:val="24"/>
          <w:rtl/>
        </w:rPr>
        <w:t>.</w:t>
      </w:r>
      <w:r w:rsidRPr="006534B3">
        <w:rPr>
          <w:rFonts w:ascii="David" w:hAnsi="David" w:cs="David" w:hint="cs"/>
          <w:sz w:val="24"/>
          <w:szCs w:val="24"/>
          <w:rtl/>
        </w:rPr>
        <w:t xml:space="preserve"> </w:t>
      </w:r>
      <w:r w:rsidRPr="006534B3">
        <w:rPr>
          <w:rFonts w:asciiTheme="majorBidi" w:hAnsiTheme="majorBidi" w:cstheme="majorBidi" w:hint="cs"/>
          <w:sz w:val="24"/>
          <w:szCs w:val="24"/>
          <w:rtl/>
        </w:rPr>
        <w:t>הקשה עליו הב"י:</w:t>
      </w:r>
      <w:r w:rsidR="00FB2DB7" w:rsidRPr="006534B3">
        <w:rPr>
          <w:rFonts w:asciiTheme="majorBidi" w:hAnsiTheme="majorBidi" w:cstheme="majorBidi" w:hint="cs"/>
          <w:sz w:val="24"/>
          <w:szCs w:val="24"/>
          <w:rtl/>
        </w:rPr>
        <w:t xml:space="preserve"> </w:t>
      </w:r>
      <w:r w:rsidRPr="006534B3">
        <w:rPr>
          <w:rFonts w:ascii="David" w:hAnsi="David" w:cs="David" w:hint="cs"/>
          <w:sz w:val="24"/>
          <w:szCs w:val="24"/>
          <w:rtl/>
        </w:rPr>
        <w:t>"</w:t>
      </w:r>
      <w:r w:rsidR="007C72CC" w:rsidRPr="006534B3">
        <w:rPr>
          <w:rFonts w:ascii="David" w:hAnsi="David" w:cs="David"/>
          <w:sz w:val="24"/>
          <w:szCs w:val="24"/>
          <w:rtl/>
        </w:rPr>
        <w:t>איני יודע מהיכן ידע שהיו יודעים כן תשעה חדשים או שבעה קודם ירידתם למצרים</w:t>
      </w:r>
      <w:r w:rsidR="007F52D3">
        <w:rPr>
          <w:rFonts w:ascii="David" w:hAnsi="David" w:cs="David" w:hint="cs"/>
          <w:sz w:val="24"/>
          <w:szCs w:val="24"/>
          <w:rtl/>
        </w:rPr>
        <w:t>.</w:t>
      </w:r>
      <w:r w:rsidR="007C72CC" w:rsidRPr="006534B3">
        <w:rPr>
          <w:rFonts w:ascii="David" w:hAnsi="David" w:cs="David"/>
          <w:sz w:val="24"/>
          <w:szCs w:val="24"/>
          <w:rtl/>
        </w:rPr>
        <w:t xml:space="preserve"> שמפשטי הכתובים נראה שלא ידעו ממנו אם חי אם מת עד שנתודע להם ותיכף ירדו למצרים ואז נולדה יוכבד</w:t>
      </w:r>
      <w:r w:rsidRPr="006534B3">
        <w:rPr>
          <w:rStyle w:val="a9"/>
          <w:rFonts w:ascii="David" w:hAnsi="David" w:cs="David"/>
          <w:sz w:val="24"/>
          <w:szCs w:val="24"/>
          <w:rtl/>
        </w:rPr>
        <w:footnoteReference w:id="20"/>
      </w:r>
      <w:r w:rsidRPr="006534B3">
        <w:rPr>
          <w:rFonts w:ascii="David" w:hAnsi="David" w:cs="David" w:hint="cs"/>
          <w:sz w:val="24"/>
          <w:szCs w:val="24"/>
          <w:rtl/>
        </w:rPr>
        <w:t xml:space="preserve">". </w:t>
      </w:r>
      <w:r w:rsidRPr="006534B3">
        <w:rPr>
          <w:rFonts w:asciiTheme="majorBidi" w:hAnsiTheme="majorBidi" w:cstheme="majorBidi"/>
          <w:sz w:val="24"/>
          <w:szCs w:val="24"/>
          <w:rtl/>
        </w:rPr>
        <w:t>הב"י עצמו מבאר:</w:t>
      </w:r>
      <w:r w:rsidRPr="006534B3">
        <w:rPr>
          <w:rFonts w:ascii="David" w:hAnsi="David" w:cs="David" w:hint="cs"/>
          <w:sz w:val="24"/>
          <w:szCs w:val="24"/>
          <w:rtl/>
        </w:rPr>
        <w:t xml:space="preserve"> </w:t>
      </w:r>
      <w:r w:rsidRPr="006534B3">
        <w:rPr>
          <w:rFonts w:asciiTheme="majorBidi" w:hAnsiTheme="majorBidi" w:cstheme="majorBidi" w:hint="cs"/>
          <w:sz w:val="24"/>
          <w:szCs w:val="24"/>
          <w:rtl/>
        </w:rPr>
        <w:t>"</w:t>
      </w:r>
      <w:r w:rsidR="007C72CC" w:rsidRPr="006534B3">
        <w:rPr>
          <w:rFonts w:ascii="David" w:hAnsi="David" w:cs="David"/>
          <w:sz w:val="24"/>
          <w:szCs w:val="24"/>
          <w:rtl/>
        </w:rPr>
        <w:t xml:space="preserve">ולי נראה </w:t>
      </w:r>
      <w:r w:rsidR="007C72CC" w:rsidRPr="006534B3">
        <w:rPr>
          <w:rFonts w:ascii="David" w:hAnsi="David" w:cs="David"/>
          <w:b/>
          <w:bCs/>
          <w:sz w:val="24"/>
          <w:szCs w:val="24"/>
          <w:rtl/>
        </w:rPr>
        <w:t>שקודם מתן תורה</w:t>
      </w:r>
      <w:r w:rsidR="007C72CC" w:rsidRPr="006534B3">
        <w:rPr>
          <w:rFonts w:ascii="David" w:hAnsi="David" w:cs="David"/>
          <w:sz w:val="24"/>
          <w:szCs w:val="24"/>
          <w:rtl/>
        </w:rPr>
        <w:t xml:space="preserve"> לא הוה מיתסר לשמש בשני רעבון והא דמייתי מוליוסף יולד שני בנים וגו' </w:t>
      </w:r>
      <w:r w:rsidR="007F52D3">
        <w:rPr>
          <w:rFonts w:ascii="David" w:hAnsi="David" w:cs="David" w:hint="cs"/>
          <w:sz w:val="24"/>
          <w:szCs w:val="24"/>
          <w:rtl/>
        </w:rPr>
        <w:t xml:space="preserve">- </w:t>
      </w:r>
      <w:r w:rsidR="007C72CC" w:rsidRPr="006534B3">
        <w:rPr>
          <w:rFonts w:ascii="David" w:hAnsi="David" w:cs="David"/>
          <w:sz w:val="24"/>
          <w:szCs w:val="24"/>
          <w:rtl/>
        </w:rPr>
        <w:t>אסמכתא בעלמא הוא</w:t>
      </w:r>
      <w:r w:rsidRPr="006534B3">
        <w:rPr>
          <w:rFonts w:ascii="David" w:hAnsi="David" w:cs="David" w:hint="cs"/>
          <w:sz w:val="24"/>
          <w:szCs w:val="24"/>
          <w:rtl/>
        </w:rPr>
        <w:t>..</w:t>
      </w:r>
      <w:r w:rsidR="007C72CC" w:rsidRPr="006534B3">
        <w:rPr>
          <w:rFonts w:ascii="David" w:hAnsi="David" w:cs="David"/>
          <w:sz w:val="24"/>
          <w:szCs w:val="24"/>
          <w:rtl/>
        </w:rPr>
        <w:t>ותדע שכן הוא דהא חשוכי בנים משמשים מטותיהם בשני בצורת</w:t>
      </w:r>
      <w:r w:rsidR="007F52D3">
        <w:rPr>
          <w:rFonts w:ascii="David" w:hAnsi="David" w:cs="David" w:hint="cs"/>
          <w:sz w:val="24"/>
          <w:szCs w:val="24"/>
          <w:rtl/>
        </w:rPr>
        <w:t>,</w:t>
      </w:r>
      <w:r w:rsidR="007C72CC" w:rsidRPr="006534B3">
        <w:rPr>
          <w:rFonts w:ascii="David" w:hAnsi="David" w:cs="David"/>
          <w:sz w:val="24"/>
          <w:szCs w:val="24"/>
          <w:rtl/>
        </w:rPr>
        <w:t xml:space="preserve"> ויוסף קודם שנולדו לו שני בנים חשוך בנים היה</w:t>
      </w:r>
      <w:r w:rsidR="007F52D3">
        <w:rPr>
          <w:rFonts w:ascii="David" w:hAnsi="David" w:cs="David" w:hint="cs"/>
          <w:sz w:val="24"/>
          <w:szCs w:val="24"/>
          <w:rtl/>
        </w:rPr>
        <w:t>,</w:t>
      </w:r>
      <w:r w:rsidR="007C72CC" w:rsidRPr="006534B3">
        <w:rPr>
          <w:rFonts w:ascii="David" w:hAnsi="David" w:cs="David"/>
          <w:sz w:val="24"/>
          <w:szCs w:val="24"/>
          <w:rtl/>
        </w:rPr>
        <w:t xml:space="preserve"> ומותר היה לו לשמש אפילו אם היו שני רעבון</w:t>
      </w:r>
      <w:r w:rsidRPr="006534B3">
        <w:rPr>
          <w:rFonts w:ascii="David" w:hAnsi="David" w:cs="David" w:hint="cs"/>
          <w:sz w:val="24"/>
          <w:szCs w:val="24"/>
          <w:rtl/>
        </w:rPr>
        <w:t>".</w:t>
      </w:r>
      <w:r w:rsidR="00770D72" w:rsidRPr="006534B3">
        <w:rPr>
          <w:rFonts w:asciiTheme="majorBidi" w:hAnsiTheme="majorBidi" w:cstheme="majorBidi" w:hint="cs"/>
          <w:sz w:val="24"/>
          <w:szCs w:val="24"/>
          <w:rtl/>
        </w:rPr>
        <w:t xml:space="preserve"> </w:t>
      </w:r>
      <w:r w:rsidRPr="006534B3">
        <w:rPr>
          <w:rFonts w:ascii="David" w:hAnsi="David" w:cs="David" w:hint="cs"/>
          <w:sz w:val="24"/>
          <w:szCs w:val="24"/>
          <w:rtl/>
        </w:rPr>
        <w:t>"</w:t>
      </w:r>
      <w:r w:rsidR="00E65D26" w:rsidRPr="006534B3">
        <w:rPr>
          <w:rFonts w:ascii="David" w:hAnsi="David" w:cs="David"/>
          <w:sz w:val="24"/>
          <w:szCs w:val="24"/>
          <w:rtl/>
        </w:rPr>
        <w:t>וקשה לתירוצו כיון שהוא אסור לאחר מתן תורה ואפי' מדרבנן</w:t>
      </w:r>
      <w:r w:rsidR="00D968DA" w:rsidRPr="006534B3">
        <w:rPr>
          <w:rStyle w:val="a9"/>
          <w:rFonts w:ascii="David" w:hAnsi="David" w:cs="David"/>
          <w:sz w:val="24"/>
          <w:szCs w:val="24"/>
          <w:rtl/>
        </w:rPr>
        <w:footnoteReference w:id="21"/>
      </w:r>
      <w:r w:rsidR="00E65D26" w:rsidRPr="006534B3">
        <w:rPr>
          <w:rFonts w:ascii="David" w:hAnsi="David" w:cs="David"/>
          <w:sz w:val="24"/>
          <w:szCs w:val="24"/>
          <w:rtl/>
        </w:rPr>
        <w:t xml:space="preserve"> ודאי דהיה לוי מקיים איסורו כמ"ש שהאבות קיימו אפילו עירובי תבשילין</w:t>
      </w:r>
      <w:r w:rsidRPr="006534B3">
        <w:rPr>
          <w:rStyle w:val="a9"/>
          <w:rFonts w:ascii="David" w:hAnsi="David" w:cs="David"/>
          <w:sz w:val="24"/>
          <w:szCs w:val="24"/>
          <w:rtl/>
        </w:rPr>
        <w:footnoteReference w:id="22"/>
      </w:r>
      <w:r w:rsidRPr="006534B3">
        <w:rPr>
          <w:rFonts w:ascii="David" w:hAnsi="David" w:cs="David" w:hint="cs"/>
          <w:sz w:val="24"/>
          <w:szCs w:val="24"/>
          <w:rtl/>
        </w:rPr>
        <w:t>"</w:t>
      </w:r>
      <w:r w:rsidR="00B917EB" w:rsidRPr="006534B3">
        <w:rPr>
          <w:rFonts w:ascii="David" w:hAnsi="David" w:cs="David" w:hint="cs"/>
          <w:sz w:val="24"/>
          <w:szCs w:val="24"/>
          <w:rtl/>
        </w:rPr>
        <w:t>.</w:t>
      </w:r>
      <w:r w:rsidR="00D968DA" w:rsidRPr="006534B3">
        <w:rPr>
          <w:rFonts w:asciiTheme="majorBidi" w:hAnsiTheme="majorBidi" w:cstheme="majorBidi" w:hint="cs"/>
          <w:sz w:val="24"/>
          <w:szCs w:val="24"/>
          <w:rtl/>
        </w:rPr>
        <w:t xml:space="preserve"> </w:t>
      </w:r>
      <w:r w:rsidR="00D968DA" w:rsidRPr="006534B3">
        <w:rPr>
          <w:rFonts w:ascii="David" w:hAnsi="David" w:cs="David" w:hint="cs"/>
          <w:sz w:val="24"/>
          <w:szCs w:val="24"/>
          <w:rtl/>
        </w:rPr>
        <w:t>"</w:t>
      </w:r>
      <w:r w:rsidR="00D968DA" w:rsidRPr="006534B3">
        <w:rPr>
          <w:rFonts w:ascii="David" w:hAnsi="David" w:cs="David"/>
          <w:sz w:val="24"/>
          <w:szCs w:val="24"/>
          <w:rtl/>
        </w:rPr>
        <w:t xml:space="preserve">החתם סופר </w:t>
      </w:r>
      <w:r w:rsidR="00D968DA" w:rsidRPr="006534B3">
        <w:rPr>
          <w:rFonts w:ascii="David" w:hAnsi="David" w:cs="David"/>
          <w:sz w:val="18"/>
          <w:szCs w:val="18"/>
          <w:rtl/>
        </w:rPr>
        <w:t>[על התורה, פרשת ויגש]</w:t>
      </w:r>
      <w:r w:rsidR="00D968DA" w:rsidRPr="006534B3">
        <w:rPr>
          <w:rFonts w:ascii="David" w:hAnsi="David" w:cs="David"/>
          <w:sz w:val="24"/>
          <w:szCs w:val="24"/>
          <w:rtl/>
        </w:rPr>
        <w:t xml:space="preserve"> מתרץ, שבאמת אסור לשמש בשני ריעבון מפני צרת הציבור ההמוני, שאין לבם שלם כל כך בבטחון בה'. אבל הצדיקים, הבוטחים באמת בה', ושמחים גם בשני ריעבון שתבוא הישועה, להם באמת מותר לשמש בשני ריעבון. ואם היו כולם צדיקים, לא היה איסור בזה כלל, אף שהגויים שרויים בצער, כי מה לנו ולהם. והנה, בזמן יוסף היו כולם צדיקים, שהרי היו רק בני יעקב. ואם כן, היה מותר להם לשמש. אך יוסף נהג במידת חסידות, ולא שימש משום צער הגויים</w:t>
      </w:r>
      <w:r w:rsidR="00D968DA" w:rsidRPr="006534B3">
        <w:rPr>
          <w:rStyle w:val="a9"/>
          <w:rFonts w:ascii="David" w:hAnsi="David" w:cs="David"/>
          <w:sz w:val="24"/>
          <w:szCs w:val="24"/>
          <w:rtl/>
        </w:rPr>
        <w:footnoteReference w:id="23"/>
      </w:r>
      <w:r w:rsidR="00D968DA" w:rsidRPr="006534B3">
        <w:rPr>
          <w:rFonts w:ascii="David" w:hAnsi="David" w:cs="David" w:hint="cs"/>
          <w:sz w:val="24"/>
          <w:szCs w:val="24"/>
          <w:rtl/>
        </w:rPr>
        <w:t>"</w:t>
      </w:r>
      <w:r w:rsidR="00D968DA" w:rsidRPr="006534B3">
        <w:rPr>
          <w:rFonts w:ascii="David" w:hAnsi="David" w:cs="David"/>
          <w:sz w:val="24"/>
          <w:szCs w:val="24"/>
          <w:rtl/>
        </w:rPr>
        <w:t>.</w:t>
      </w:r>
    </w:p>
    <w:p w14:paraId="1E43C605" w14:textId="46B05E69" w:rsidR="00D968DA" w:rsidRDefault="00D968DA" w:rsidP="00D968DA">
      <w:pPr>
        <w:spacing w:after="0" w:line="360" w:lineRule="auto"/>
        <w:rPr>
          <w:rFonts w:ascii="David" w:hAnsi="David" w:cs="David"/>
          <w:sz w:val="24"/>
          <w:szCs w:val="24"/>
          <w:rtl/>
        </w:rPr>
      </w:pPr>
    </w:p>
    <w:p w14:paraId="7722C738" w14:textId="0C41B0D3" w:rsidR="00772011" w:rsidRDefault="00772011" w:rsidP="00D968DA">
      <w:pPr>
        <w:spacing w:after="0" w:line="360" w:lineRule="auto"/>
        <w:rPr>
          <w:rFonts w:ascii="David" w:hAnsi="David" w:cs="David"/>
          <w:sz w:val="24"/>
          <w:szCs w:val="24"/>
          <w:rtl/>
        </w:rPr>
      </w:pPr>
    </w:p>
    <w:p w14:paraId="4F293D55" w14:textId="77777777" w:rsidR="00772011" w:rsidRPr="006534B3" w:rsidRDefault="00772011" w:rsidP="00D968DA">
      <w:pPr>
        <w:spacing w:after="0" w:line="360" w:lineRule="auto"/>
        <w:rPr>
          <w:rFonts w:ascii="David" w:hAnsi="David" w:cs="David"/>
          <w:sz w:val="24"/>
          <w:szCs w:val="24"/>
          <w:rtl/>
        </w:rPr>
      </w:pPr>
    </w:p>
    <w:p w14:paraId="0C74E47B" w14:textId="1F0B9AE6" w:rsidR="00B917EB" w:rsidRPr="00772011" w:rsidRDefault="00D968DA" w:rsidP="00772011">
      <w:pPr>
        <w:pStyle w:val="aa"/>
        <w:numPr>
          <w:ilvl w:val="0"/>
          <w:numId w:val="1"/>
        </w:numPr>
        <w:spacing w:after="0" w:line="360" w:lineRule="auto"/>
        <w:rPr>
          <w:rFonts w:asciiTheme="majorBidi" w:hAnsiTheme="majorBidi" w:cstheme="majorBidi"/>
          <w:b/>
          <w:bCs/>
          <w:sz w:val="24"/>
          <w:szCs w:val="24"/>
          <w:rtl/>
        </w:rPr>
      </w:pPr>
      <w:r w:rsidRPr="00772011">
        <w:rPr>
          <w:rFonts w:asciiTheme="majorBidi" w:hAnsiTheme="majorBidi" w:cstheme="majorBidi" w:hint="cs"/>
          <w:b/>
          <w:bCs/>
          <w:sz w:val="24"/>
          <w:szCs w:val="24"/>
          <w:rtl/>
        </w:rPr>
        <w:lastRenderedPageBreak/>
        <w:t>ההיתרים</w:t>
      </w:r>
    </w:p>
    <w:p w14:paraId="39AF9206" w14:textId="22E936DA" w:rsidR="0044011E" w:rsidRPr="006534B3" w:rsidRDefault="00D968DA" w:rsidP="0044011E">
      <w:pPr>
        <w:spacing w:after="0" w:line="360" w:lineRule="auto"/>
        <w:rPr>
          <w:rFonts w:ascii="David" w:hAnsi="David" w:cs="David"/>
          <w:sz w:val="24"/>
          <w:szCs w:val="24"/>
          <w:rtl/>
        </w:rPr>
      </w:pPr>
      <w:r w:rsidRPr="006534B3">
        <w:rPr>
          <w:rFonts w:asciiTheme="majorBidi" w:hAnsiTheme="majorBidi" w:cstheme="majorBidi" w:hint="cs"/>
          <w:sz w:val="24"/>
          <w:szCs w:val="24"/>
          <w:rtl/>
        </w:rPr>
        <w:t xml:space="preserve">בסוגייתנו ניתן </w:t>
      </w:r>
      <w:r w:rsidR="0044011E" w:rsidRPr="006534B3">
        <w:rPr>
          <w:rFonts w:asciiTheme="majorBidi" w:hAnsiTheme="majorBidi" w:cstheme="majorBidi" w:hint="cs"/>
          <w:sz w:val="24"/>
          <w:szCs w:val="24"/>
          <w:rtl/>
        </w:rPr>
        <w:t xml:space="preserve">לכאורה </w:t>
      </w:r>
      <w:r w:rsidRPr="006534B3">
        <w:rPr>
          <w:rFonts w:asciiTheme="majorBidi" w:hAnsiTheme="majorBidi" w:cstheme="majorBidi" w:hint="cs"/>
          <w:sz w:val="24"/>
          <w:szCs w:val="24"/>
          <w:rtl/>
        </w:rPr>
        <w:t xml:space="preserve">היתר ל'חסוכי בנים'. פירש רש"י: </w:t>
      </w:r>
      <w:r w:rsidRPr="006534B3">
        <w:rPr>
          <w:rFonts w:ascii="David" w:hAnsi="David" w:cs="David" w:hint="cs"/>
          <w:sz w:val="24"/>
          <w:szCs w:val="24"/>
          <w:rtl/>
        </w:rPr>
        <w:t>"</w:t>
      </w:r>
      <w:r w:rsidRPr="006534B3">
        <w:rPr>
          <w:rFonts w:ascii="David" w:hAnsi="David" w:cs="David"/>
          <w:sz w:val="24"/>
          <w:szCs w:val="24"/>
          <w:rtl/>
        </w:rPr>
        <w:t xml:space="preserve">חסירי בנים, דגרסינן </w:t>
      </w:r>
      <w:r w:rsidRPr="006534B3">
        <w:rPr>
          <w:rFonts w:ascii="David" w:hAnsi="David" w:cs="David"/>
          <w:sz w:val="18"/>
          <w:szCs w:val="18"/>
          <w:rtl/>
        </w:rPr>
        <w:t>במנחות (כט, א)</w:t>
      </w:r>
      <w:r w:rsidRPr="006534B3">
        <w:rPr>
          <w:rFonts w:ascii="David" w:hAnsi="David" w:cs="David"/>
          <w:sz w:val="24"/>
          <w:szCs w:val="24"/>
          <w:rtl/>
        </w:rPr>
        <w:t xml:space="preserve"> לגבי מנורה: ומי חסיכי כולי האי, שלא קיימו פריה ורביה</w:t>
      </w:r>
      <w:r w:rsidRPr="006534B3">
        <w:rPr>
          <w:rFonts w:ascii="David" w:hAnsi="David" w:cs="David" w:hint="cs"/>
          <w:sz w:val="24"/>
          <w:szCs w:val="24"/>
          <w:rtl/>
        </w:rPr>
        <w:t>"</w:t>
      </w:r>
      <w:r w:rsidRPr="006534B3">
        <w:rPr>
          <w:rFonts w:ascii="David" w:hAnsi="David" w:cs="David"/>
          <w:sz w:val="24"/>
          <w:szCs w:val="24"/>
          <w:rtl/>
        </w:rPr>
        <w:t>.</w:t>
      </w:r>
      <w:r w:rsidR="0044011E" w:rsidRPr="006534B3">
        <w:rPr>
          <w:rFonts w:ascii="David" w:hAnsi="David" w:cs="David" w:hint="cs"/>
          <w:sz w:val="24"/>
          <w:szCs w:val="24"/>
          <w:rtl/>
        </w:rPr>
        <w:t xml:space="preserve"> </w:t>
      </w:r>
      <w:r w:rsidR="0044011E" w:rsidRPr="006534B3">
        <w:rPr>
          <w:rFonts w:asciiTheme="majorBidi" w:hAnsiTheme="majorBidi" w:cstheme="majorBidi"/>
          <w:sz w:val="24"/>
          <w:szCs w:val="24"/>
          <w:rtl/>
        </w:rPr>
        <w:t>אם כן, ההיתר מיועד לכל מי שאין לו בן ובת, שבכך מקיימים להלכה פריה ורביה</w:t>
      </w:r>
      <w:r w:rsidR="0044011E" w:rsidRPr="006534B3">
        <w:rPr>
          <w:rStyle w:val="a9"/>
          <w:rFonts w:asciiTheme="majorBidi" w:hAnsiTheme="majorBidi" w:cstheme="majorBidi"/>
          <w:sz w:val="24"/>
          <w:szCs w:val="24"/>
          <w:rtl/>
        </w:rPr>
        <w:footnoteReference w:id="24"/>
      </w:r>
      <w:r w:rsidR="0044011E" w:rsidRPr="006534B3">
        <w:rPr>
          <w:rFonts w:asciiTheme="majorBidi" w:hAnsiTheme="majorBidi" w:cstheme="majorBidi"/>
          <w:sz w:val="24"/>
          <w:szCs w:val="24"/>
          <w:rtl/>
        </w:rPr>
        <w:t>.</w:t>
      </w:r>
      <w:r w:rsidR="0044011E" w:rsidRPr="006534B3">
        <w:rPr>
          <w:rFonts w:asciiTheme="majorBidi" w:hAnsiTheme="majorBidi" w:cstheme="majorBidi" w:hint="cs"/>
          <w:sz w:val="24"/>
          <w:szCs w:val="24"/>
          <w:rtl/>
        </w:rPr>
        <w:t xml:space="preserve"> לעומת זאת כתב רבינו יהונתן: </w:t>
      </w:r>
      <w:r w:rsidR="0044011E" w:rsidRPr="006534B3">
        <w:rPr>
          <w:rFonts w:ascii="David" w:hAnsi="David" w:cs="David" w:hint="cs"/>
          <w:sz w:val="24"/>
          <w:szCs w:val="24"/>
          <w:rtl/>
        </w:rPr>
        <w:t>"</w:t>
      </w:r>
      <w:r w:rsidR="0044011E" w:rsidRPr="006534B3">
        <w:rPr>
          <w:rFonts w:ascii="David" w:hAnsi="David" w:cs="David"/>
          <w:sz w:val="24"/>
          <w:szCs w:val="24"/>
          <w:rtl/>
        </w:rPr>
        <w:t xml:space="preserve">חשוכי בנים, כלומר מי שאין לו בנים </w:t>
      </w:r>
      <w:r w:rsidR="0044011E" w:rsidRPr="006534B3">
        <w:rPr>
          <w:rFonts w:ascii="David" w:hAnsi="David" w:cs="David"/>
          <w:b/>
          <w:bCs/>
          <w:sz w:val="24"/>
          <w:szCs w:val="24"/>
          <w:rtl/>
        </w:rPr>
        <w:t>כלל</w:t>
      </w:r>
      <w:r w:rsidR="0044011E" w:rsidRPr="006534B3">
        <w:rPr>
          <w:rStyle w:val="a9"/>
          <w:rFonts w:ascii="David" w:hAnsi="David" w:cs="David"/>
          <w:sz w:val="24"/>
          <w:szCs w:val="24"/>
          <w:rtl/>
        </w:rPr>
        <w:footnoteReference w:id="25"/>
      </w:r>
      <w:r w:rsidR="0044011E" w:rsidRPr="006534B3">
        <w:rPr>
          <w:rFonts w:ascii="David" w:hAnsi="David" w:cs="David" w:hint="cs"/>
          <w:sz w:val="24"/>
          <w:szCs w:val="24"/>
          <w:rtl/>
        </w:rPr>
        <w:t>".</w:t>
      </w:r>
      <w:r w:rsidR="0044011E" w:rsidRPr="006534B3">
        <w:rPr>
          <w:rFonts w:ascii="David" w:hAnsi="David" w:cs="David"/>
          <w:sz w:val="24"/>
          <w:szCs w:val="24"/>
          <w:rtl/>
        </w:rPr>
        <w:t xml:space="preserve"> </w:t>
      </w:r>
      <w:r w:rsidR="0044011E" w:rsidRPr="006534B3">
        <w:rPr>
          <w:rFonts w:ascii="David" w:hAnsi="David" w:cs="David" w:hint="cs"/>
          <w:sz w:val="24"/>
          <w:szCs w:val="24"/>
          <w:rtl/>
        </w:rPr>
        <w:t xml:space="preserve"> </w:t>
      </w:r>
      <w:r w:rsidR="007F52D3">
        <w:rPr>
          <w:rFonts w:asciiTheme="majorBidi" w:hAnsiTheme="majorBidi" w:cstheme="majorBidi" w:hint="cs"/>
          <w:sz w:val="24"/>
          <w:szCs w:val="24"/>
          <w:rtl/>
        </w:rPr>
        <w:t xml:space="preserve">כאמור, </w:t>
      </w:r>
      <w:r w:rsidR="0044011E" w:rsidRPr="006534B3">
        <w:rPr>
          <w:rFonts w:asciiTheme="majorBidi" w:hAnsiTheme="majorBidi" w:cstheme="majorBidi"/>
          <w:sz w:val="24"/>
          <w:szCs w:val="24"/>
          <w:rtl/>
        </w:rPr>
        <w:t>הריטב"א</w:t>
      </w:r>
      <w:r w:rsidR="0044011E" w:rsidRPr="006534B3">
        <w:rPr>
          <w:rFonts w:ascii="David" w:hAnsi="David" w:cs="David" w:hint="cs"/>
          <w:sz w:val="24"/>
          <w:szCs w:val="24"/>
          <w:rtl/>
        </w:rPr>
        <w:t xml:space="preserve"> </w:t>
      </w:r>
      <w:r w:rsidR="0044011E" w:rsidRPr="006534B3">
        <w:rPr>
          <w:rFonts w:asciiTheme="majorBidi" w:hAnsiTheme="majorBidi" w:cstheme="majorBidi"/>
          <w:sz w:val="24"/>
          <w:szCs w:val="24"/>
          <w:rtl/>
        </w:rPr>
        <w:t>הביא פירוש לפיו אין כאן כלל היתר:</w:t>
      </w:r>
      <w:r w:rsidR="0044011E" w:rsidRPr="006534B3">
        <w:rPr>
          <w:rFonts w:ascii="David" w:hAnsi="David" w:cs="David" w:hint="cs"/>
          <w:sz w:val="24"/>
          <w:szCs w:val="24"/>
          <w:rtl/>
        </w:rPr>
        <w:t xml:space="preserve"> "</w:t>
      </w:r>
      <w:r w:rsidR="0044011E" w:rsidRPr="006534B3">
        <w:rPr>
          <w:rFonts w:ascii="David" w:hAnsi="David" w:cs="David"/>
          <w:sz w:val="24"/>
          <w:szCs w:val="24"/>
          <w:rtl/>
        </w:rPr>
        <w:t>שלא מצינו לשון זה בשום מקום</w:t>
      </w:r>
      <w:r w:rsidR="0044011E" w:rsidRPr="006534B3">
        <w:rPr>
          <w:rFonts w:ascii="David" w:hAnsi="David" w:cs="David" w:hint="cs"/>
          <w:sz w:val="24"/>
          <w:szCs w:val="24"/>
          <w:rtl/>
        </w:rPr>
        <w:t xml:space="preserve">.. </w:t>
      </w:r>
      <w:r w:rsidR="0044011E" w:rsidRPr="006534B3">
        <w:rPr>
          <w:rFonts w:ascii="David" w:hAnsi="David" w:cs="David"/>
          <w:sz w:val="24"/>
          <w:szCs w:val="24"/>
          <w:rtl/>
        </w:rPr>
        <w:t>ופירשו מלשון בל יתיצב לפני חשוכים, וה"ק כי מי הם חשוכי בנים שאין בניהם יוצאים כשורה</w:t>
      </w:r>
      <w:r w:rsidR="0044011E" w:rsidRPr="006534B3">
        <w:rPr>
          <w:rFonts w:ascii="David" w:hAnsi="David" w:cs="David" w:hint="cs"/>
          <w:sz w:val="24"/>
          <w:szCs w:val="24"/>
          <w:rtl/>
        </w:rPr>
        <w:t>-</w:t>
      </w:r>
      <w:r w:rsidR="0044011E" w:rsidRPr="006534B3">
        <w:rPr>
          <w:rFonts w:ascii="David" w:hAnsi="David" w:cs="David"/>
          <w:sz w:val="24"/>
          <w:szCs w:val="24"/>
          <w:rtl/>
        </w:rPr>
        <w:t xml:space="preserve"> מי שמשמשים מטותיהם בשני רעבון, וסעדו פירוש זה ממה שמצאו בקצת נוסחאות [ה]משמשים מטותיהם בשני רעבון</w:t>
      </w:r>
      <w:r w:rsidR="0044011E" w:rsidRPr="006534B3">
        <w:rPr>
          <w:rFonts w:ascii="David" w:hAnsi="David" w:cs="David" w:hint="cs"/>
          <w:sz w:val="24"/>
          <w:szCs w:val="24"/>
          <w:rtl/>
        </w:rPr>
        <w:t>".</w:t>
      </w:r>
    </w:p>
    <w:p w14:paraId="4E1A9FD3" w14:textId="13D483B8" w:rsidR="00D80ABD" w:rsidRPr="006534B3" w:rsidRDefault="00D80ABD" w:rsidP="00D80ABD">
      <w:pPr>
        <w:spacing w:after="0" w:line="360" w:lineRule="auto"/>
        <w:rPr>
          <w:rFonts w:asciiTheme="majorBidi" w:hAnsiTheme="majorBidi" w:cstheme="majorBidi"/>
          <w:sz w:val="24"/>
          <w:szCs w:val="24"/>
          <w:rtl/>
        </w:rPr>
      </w:pPr>
      <w:r w:rsidRPr="006534B3">
        <w:rPr>
          <w:rFonts w:asciiTheme="majorBidi" w:hAnsiTheme="majorBidi" w:cstheme="majorBidi"/>
          <w:sz w:val="24"/>
          <w:szCs w:val="24"/>
          <w:rtl/>
        </w:rPr>
        <w:t>מכל מקום הירושלמי הביא היתר:</w:t>
      </w:r>
      <w:r w:rsidRPr="006534B3">
        <w:rPr>
          <w:rFonts w:ascii="David" w:hAnsi="David" w:cs="David" w:hint="cs"/>
          <w:sz w:val="24"/>
          <w:szCs w:val="24"/>
          <w:rtl/>
        </w:rPr>
        <w:t xml:space="preserve"> "</w:t>
      </w:r>
      <w:r w:rsidRPr="006534B3">
        <w:rPr>
          <w:rFonts w:ascii="David" w:hAnsi="David" w:cs="David"/>
          <w:sz w:val="24"/>
          <w:szCs w:val="24"/>
          <w:rtl/>
        </w:rPr>
        <w:t>א"ר לוי</w:t>
      </w:r>
      <w:r w:rsidR="007F52D3">
        <w:rPr>
          <w:rFonts w:ascii="David" w:hAnsi="David" w:cs="David" w:hint="cs"/>
          <w:sz w:val="24"/>
          <w:szCs w:val="24"/>
          <w:rtl/>
        </w:rPr>
        <w:t>:</w:t>
      </w:r>
      <w:r w:rsidRPr="006534B3">
        <w:rPr>
          <w:rFonts w:ascii="David" w:hAnsi="David" w:cs="David"/>
          <w:sz w:val="24"/>
          <w:szCs w:val="24"/>
          <w:rtl/>
        </w:rPr>
        <w:t xml:space="preserve"> כתיב </w:t>
      </w:r>
      <w:r w:rsidRPr="006534B3">
        <w:rPr>
          <w:rFonts w:ascii="David" w:hAnsi="David" w:cs="David"/>
          <w:sz w:val="18"/>
          <w:szCs w:val="18"/>
          <w:rtl/>
        </w:rPr>
        <w:t>[בראשית מא נ]</w:t>
      </w:r>
      <w:r w:rsidRPr="006534B3">
        <w:rPr>
          <w:rFonts w:ascii="David" w:hAnsi="David" w:cs="David"/>
          <w:sz w:val="24"/>
          <w:szCs w:val="24"/>
          <w:rtl/>
        </w:rPr>
        <w:t xml:space="preserve"> וליוסף ילד שני בנים</w:t>
      </w:r>
      <w:r w:rsidR="007F52D3">
        <w:rPr>
          <w:rFonts w:ascii="David" w:hAnsi="David" w:cs="David" w:hint="cs"/>
          <w:sz w:val="24"/>
          <w:szCs w:val="24"/>
          <w:rtl/>
        </w:rPr>
        <w:t>.</w:t>
      </w:r>
      <w:r w:rsidRPr="006534B3">
        <w:rPr>
          <w:rFonts w:ascii="David" w:hAnsi="David" w:cs="David"/>
          <w:sz w:val="24"/>
          <w:szCs w:val="24"/>
          <w:rtl/>
        </w:rPr>
        <w:t xml:space="preserve"> אימתי</w:t>
      </w:r>
      <w:r w:rsidR="007F52D3">
        <w:rPr>
          <w:rFonts w:ascii="David" w:hAnsi="David" w:cs="David" w:hint="cs"/>
          <w:sz w:val="24"/>
          <w:szCs w:val="24"/>
          <w:rtl/>
        </w:rPr>
        <w:t>?</w:t>
      </w:r>
      <w:r w:rsidRPr="006534B3">
        <w:rPr>
          <w:rFonts w:ascii="David" w:hAnsi="David" w:cs="David"/>
          <w:sz w:val="24"/>
          <w:szCs w:val="24"/>
          <w:rtl/>
        </w:rPr>
        <w:t xml:space="preserve"> בטרם תבוא שנת הרעב. תני בשם ר' יהודה תאיבי בנים משמשין מיטותיהן</w:t>
      </w:r>
      <w:r w:rsidR="007F52D3">
        <w:rPr>
          <w:rFonts w:ascii="David" w:hAnsi="David" w:cs="David" w:hint="cs"/>
          <w:sz w:val="24"/>
          <w:szCs w:val="24"/>
          <w:rtl/>
        </w:rPr>
        <w:t>.</w:t>
      </w:r>
      <w:r w:rsidRPr="006534B3">
        <w:rPr>
          <w:rFonts w:ascii="David" w:hAnsi="David" w:cs="David"/>
          <w:sz w:val="24"/>
          <w:szCs w:val="24"/>
          <w:rtl/>
        </w:rPr>
        <w:t xml:space="preserve"> א"ר יוסי ובלבד יום שטבלה</w:t>
      </w:r>
      <w:r w:rsidRPr="006534B3">
        <w:rPr>
          <w:rStyle w:val="a9"/>
          <w:rFonts w:ascii="David" w:hAnsi="David" w:cs="David"/>
          <w:sz w:val="24"/>
          <w:szCs w:val="24"/>
          <w:rtl/>
        </w:rPr>
        <w:footnoteReference w:id="26"/>
      </w:r>
      <w:r w:rsidRPr="006534B3">
        <w:rPr>
          <w:rFonts w:ascii="David" w:hAnsi="David" w:cs="David" w:hint="cs"/>
          <w:sz w:val="24"/>
          <w:szCs w:val="24"/>
          <w:rtl/>
        </w:rPr>
        <w:t>".  "</w:t>
      </w:r>
      <w:r w:rsidRPr="006534B3">
        <w:rPr>
          <w:rFonts w:ascii="David" w:hAnsi="David" w:cs="David"/>
          <w:sz w:val="24"/>
          <w:szCs w:val="24"/>
          <w:rtl/>
        </w:rPr>
        <w:t>דסמוך לטבילתה האשה מתעברת אבל בתר הכי אסורין בתשמיש</w:t>
      </w:r>
      <w:r w:rsidRPr="006534B3">
        <w:rPr>
          <w:rStyle w:val="a9"/>
          <w:rFonts w:asciiTheme="majorBidi" w:hAnsiTheme="majorBidi" w:cstheme="majorBidi"/>
          <w:sz w:val="24"/>
          <w:szCs w:val="24"/>
          <w:rtl/>
        </w:rPr>
        <w:footnoteReference w:id="27"/>
      </w:r>
      <w:r w:rsidRPr="006534B3">
        <w:rPr>
          <w:rFonts w:asciiTheme="majorBidi" w:hAnsiTheme="majorBidi" w:cstheme="majorBidi"/>
          <w:sz w:val="24"/>
          <w:szCs w:val="24"/>
          <w:rtl/>
        </w:rPr>
        <w:t>". בבית יוסף הבין ששני היתרים לפנינו: ליל טבילה ו'תאבי בנים':</w:t>
      </w:r>
    </w:p>
    <w:p w14:paraId="6E7250EB" w14:textId="679F5416" w:rsidR="00D80ABD" w:rsidRPr="006534B3" w:rsidRDefault="00D80ABD" w:rsidP="00D80ABD">
      <w:pPr>
        <w:spacing w:after="0" w:line="360" w:lineRule="auto"/>
        <w:rPr>
          <w:rFonts w:ascii="David" w:hAnsi="David" w:cs="David"/>
          <w:sz w:val="24"/>
          <w:szCs w:val="24"/>
          <w:rtl/>
        </w:rPr>
      </w:pPr>
      <w:r w:rsidRPr="006534B3">
        <w:rPr>
          <w:rFonts w:ascii="David" w:hAnsi="David" w:cs="David" w:hint="cs"/>
          <w:sz w:val="24"/>
          <w:szCs w:val="24"/>
          <w:rtl/>
        </w:rPr>
        <w:t xml:space="preserve"> </w:t>
      </w:r>
      <w:r w:rsidRPr="006534B3">
        <w:rPr>
          <w:rFonts w:ascii="David" w:hAnsi="David" w:cs="David"/>
          <w:sz w:val="24"/>
          <w:szCs w:val="24"/>
          <w:rtl/>
        </w:rPr>
        <w:t xml:space="preserve"> </w:t>
      </w:r>
      <w:r w:rsidRPr="006534B3">
        <w:rPr>
          <w:rFonts w:ascii="David" w:hAnsi="David" w:cs="David" w:hint="cs"/>
          <w:sz w:val="24"/>
          <w:szCs w:val="24"/>
          <w:rtl/>
        </w:rPr>
        <w:t>,</w:t>
      </w:r>
      <w:r w:rsidRPr="006534B3">
        <w:rPr>
          <w:rFonts w:ascii="David" w:hAnsi="David" w:cs="David"/>
          <w:sz w:val="24"/>
          <w:szCs w:val="24"/>
          <w:rtl/>
        </w:rPr>
        <w:t>יש לתמוה</w:t>
      </w:r>
      <w:r w:rsidR="007F52D3">
        <w:rPr>
          <w:rFonts w:ascii="David" w:hAnsi="David" w:cs="David" w:hint="cs"/>
          <w:sz w:val="24"/>
          <w:szCs w:val="24"/>
          <w:rtl/>
        </w:rPr>
        <w:t>,</w:t>
      </w:r>
      <w:r w:rsidRPr="006534B3">
        <w:rPr>
          <w:rFonts w:ascii="David" w:hAnsi="David" w:cs="David"/>
          <w:sz w:val="24"/>
          <w:szCs w:val="24"/>
          <w:rtl/>
        </w:rPr>
        <w:t xml:space="preserve"> דתאיבי בנים צריכים הם לשמש תמיד עד שידעו שנשותיהם מעוברות</w:t>
      </w:r>
      <w:r w:rsidR="007F52D3">
        <w:rPr>
          <w:rFonts w:ascii="David" w:hAnsi="David" w:cs="David" w:hint="cs"/>
          <w:sz w:val="24"/>
          <w:szCs w:val="24"/>
          <w:rtl/>
        </w:rPr>
        <w:t>.</w:t>
      </w:r>
      <w:r w:rsidRPr="006534B3">
        <w:rPr>
          <w:rFonts w:ascii="David" w:hAnsi="David" w:cs="David"/>
          <w:sz w:val="24"/>
          <w:szCs w:val="24"/>
          <w:rtl/>
        </w:rPr>
        <w:t xml:space="preserve"> ונראה לי שצריך לומר דאדלעיל קאי</w:t>
      </w:r>
      <w:r w:rsidR="007F52D3">
        <w:rPr>
          <w:rFonts w:ascii="David" w:hAnsi="David" w:cs="David" w:hint="cs"/>
          <w:sz w:val="24"/>
          <w:szCs w:val="24"/>
          <w:rtl/>
        </w:rPr>
        <w:t>,</w:t>
      </w:r>
      <w:r w:rsidRPr="006534B3">
        <w:rPr>
          <w:rFonts w:ascii="David" w:hAnsi="David" w:cs="David"/>
          <w:sz w:val="24"/>
          <w:szCs w:val="24"/>
          <w:rtl/>
        </w:rPr>
        <w:t xml:space="preserve"> דקאמר בשעה שאתה רואה חסרון בא לעולם עשה אשתך גלמודה ואתא רבי יוסי למימר דהיינו חוץ מליל טבילה שבאותו הלילה צריך לשמש אף על פי שהוא שנת רעבון</w:t>
      </w:r>
      <w:r w:rsidRPr="006534B3">
        <w:rPr>
          <w:rStyle w:val="a9"/>
          <w:rFonts w:ascii="David" w:hAnsi="David" w:cs="David"/>
          <w:sz w:val="24"/>
          <w:szCs w:val="24"/>
          <w:rtl/>
        </w:rPr>
        <w:footnoteReference w:id="28"/>
      </w:r>
      <w:r w:rsidRPr="006534B3">
        <w:rPr>
          <w:rFonts w:ascii="David" w:hAnsi="David" w:cs="David" w:hint="cs"/>
          <w:sz w:val="24"/>
          <w:szCs w:val="24"/>
          <w:rtl/>
        </w:rPr>
        <w:t>".</w:t>
      </w:r>
    </w:p>
    <w:p w14:paraId="4C844072" w14:textId="597AB029" w:rsidR="00D80ABD" w:rsidRPr="00772011" w:rsidRDefault="00D80ABD" w:rsidP="00772011">
      <w:pPr>
        <w:pStyle w:val="aa"/>
        <w:numPr>
          <w:ilvl w:val="0"/>
          <w:numId w:val="1"/>
        </w:numPr>
        <w:spacing w:after="0" w:line="360" w:lineRule="auto"/>
        <w:rPr>
          <w:rFonts w:asciiTheme="majorBidi" w:hAnsiTheme="majorBidi" w:cstheme="majorBidi"/>
          <w:b/>
          <w:bCs/>
          <w:sz w:val="24"/>
          <w:szCs w:val="24"/>
          <w:rtl/>
        </w:rPr>
      </w:pPr>
      <w:r w:rsidRPr="00772011">
        <w:rPr>
          <w:rFonts w:asciiTheme="majorBidi" w:hAnsiTheme="majorBidi" w:cstheme="majorBidi"/>
          <w:b/>
          <w:bCs/>
          <w:sz w:val="24"/>
          <w:szCs w:val="24"/>
          <w:rtl/>
        </w:rPr>
        <w:t>להלכה</w:t>
      </w:r>
    </w:p>
    <w:p w14:paraId="69D896B2" w14:textId="753B3270" w:rsidR="00D80ABD" w:rsidRPr="006534B3" w:rsidRDefault="00D80ABD" w:rsidP="00D80ABD">
      <w:pPr>
        <w:spacing w:after="0" w:line="360" w:lineRule="auto"/>
        <w:rPr>
          <w:rFonts w:ascii="David" w:hAnsi="David" w:cs="David"/>
          <w:sz w:val="24"/>
          <w:szCs w:val="24"/>
          <w:rtl/>
        </w:rPr>
      </w:pPr>
      <w:r w:rsidRPr="006534B3">
        <w:rPr>
          <w:rFonts w:ascii="David" w:hAnsi="David" w:cs="David" w:hint="cs"/>
          <w:sz w:val="24"/>
          <w:szCs w:val="24"/>
          <w:rtl/>
        </w:rPr>
        <w:t>פסק הרמב"ם: "</w:t>
      </w:r>
      <w:r w:rsidRPr="006534B3">
        <w:rPr>
          <w:rFonts w:ascii="David" w:hAnsi="David" w:cs="David"/>
          <w:sz w:val="24"/>
          <w:szCs w:val="24"/>
          <w:rtl/>
        </w:rPr>
        <w:t>כל מי שקיים מצות פריה ורביה אסור לו לשמש מטתו בשני רעבון</w:t>
      </w:r>
      <w:r w:rsidRPr="006534B3">
        <w:rPr>
          <w:rStyle w:val="a9"/>
          <w:rFonts w:ascii="David" w:hAnsi="David" w:cs="David"/>
          <w:sz w:val="24"/>
          <w:szCs w:val="24"/>
          <w:rtl/>
        </w:rPr>
        <w:footnoteReference w:id="29"/>
      </w:r>
      <w:r w:rsidRPr="006534B3">
        <w:rPr>
          <w:rFonts w:ascii="David" w:hAnsi="David" w:cs="David" w:hint="cs"/>
          <w:sz w:val="24"/>
          <w:szCs w:val="24"/>
          <w:rtl/>
        </w:rPr>
        <w:t xml:space="preserve">". </w:t>
      </w:r>
      <w:r w:rsidRPr="006534B3">
        <w:rPr>
          <w:rFonts w:asciiTheme="majorBidi" w:hAnsiTheme="majorBidi" w:cstheme="majorBidi"/>
          <w:sz w:val="24"/>
          <w:szCs w:val="24"/>
          <w:rtl/>
        </w:rPr>
        <w:t>הטור הוסיף:</w:t>
      </w:r>
      <w:r w:rsidRPr="006534B3">
        <w:rPr>
          <w:rFonts w:ascii="David" w:hAnsi="David" w:cs="David" w:hint="cs"/>
          <w:sz w:val="24"/>
          <w:szCs w:val="24"/>
          <w:rtl/>
        </w:rPr>
        <w:t xml:space="preserve"> </w:t>
      </w:r>
      <w:r w:rsidRPr="006534B3">
        <w:rPr>
          <w:rFonts w:ascii="David" w:hAnsi="David" w:cs="David"/>
          <w:sz w:val="24"/>
          <w:szCs w:val="24"/>
          <w:rtl/>
        </w:rPr>
        <w:t>לחשוכי בנים מותר</w:t>
      </w:r>
      <w:r w:rsidRPr="006534B3">
        <w:rPr>
          <w:rStyle w:val="a9"/>
          <w:rFonts w:asciiTheme="majorBidi" w:hAnsiTheme="majorBidi" w:cstheme="majorBidi"/>
          <w:sz w:val="24"/>
          <w:szCs w:val="24"/>
          <w:rtl/>
        </w:rPr>
        <w:footnoteReference w:id="30"/>
      </w:r>
      <w:r w:rsidRPr="006534B3">
        <w:rPr>
          <w:rFonts w:asciiTheme="majorBidi" w:hAnsiTheme="majorBidi" w:cstheme="majorBidi"/>
          <w:sz w:val="24"/>
          <w:szCs w:val="24"/>
          <w:rtl/>
        </w:rPr>
        <w:t>".</w:t>
      </w:r>
      <w:r w:rsidR="00C131A1" w:rsidRPr="006534B3">
        <w:rPr>
          <w:rFonts w:asciiTheme="majorBidi" w:hAnsiTheme="majorBidi" w:cstheme="majorBidi"/>
          <w:sz w:val="24"/>
          <w:szCs w:val="24"/>
          <w:rtl/>
        </w:rPr>
        <w:t xml:space="preserve"> הט"ז החמיר להתיר רק למשוללי ילדים לחלוטין, כשיטת רבינו יהונתן</w:t>
      </w:r>
      <w:r w:rsidR="00C131A1" w:rsidRPr="006534B3">
        <w:rPr>
          <w:rStyle w:val="a9"/>
          <w:rFonts w:asciiTheme="majorBidi" w:hAnsiTheme="majorBidi" w:cstheme="majorBidi"/>
          <w:sz w:val="24"/>
          <w:szCs w:val="24"/>
          <w:rtl/>
        </w:rPr>
        <w:footnoteReference w:id="31"/>
      </w:r>
      <w:r w:rsidR="00C131A1" w:rsidRPr="006534B3">
        <w:rPr>
          <w:rFonts w:asciiTheme="majorBidi" w:hAnsiTheme="majorBidi" w:cstheme="majorBidi"/>
          <w:sz w:val="24"/>
          <w:szCs w:val="24"/>
          <w:rtl/>
        </w:rPr>
        <w:t>.</w:t>
      </w:r>
      <w:r w:rsidR="00C131A1" w:rsidRPr="006534B3">
        <w:rPr>
          <w:rFonts w:ascii="David" w:hAnsi="David" w:cs="David" w:hint="cs"/>
          <w:sz w:val="24"/>
          <w:szCs w:val="24"/>
          <w:rtl/>
        </w:rPr>
        <w:t xml:space="preserve"> רבו האחרונים המקלים כנגדו</w:t>
      </w:r>
      <w:r w:rsidR="00C131A1" w:rsidRPr="006534B3">
        <w:rPr>
          <w:rStyle w:val="a9"/>
          <w:rFonts w:ascii="David" w:hAnsi="David" w:cs="David"/>
          <w:sz w:val="24"/>
          <w:szCs w:val="24"/>
          <w:rtl/>
        </w:rPr>
        <w:footnoteReference w:id="32"/>
      </w:r>
      <w:r w:rsidR="00C131A1" w:rsidRPr="006534B3">
        <w:rPr>
          <w:rFonts w:ascii="David" w:hAnsi="David" w:cs="David"/>
          <w:sz w:val="24"/>
          <w:szCs w:val="24"/>
          <w:rtl/>
        </w:rPr>
        <w:t xml:space="preserve"> </w:t>
      </w:r>
      <w:r w:rsidRPr="006534B3">
        <w:rPr>
          <w:rFonts w:ascii="David" w:hAnsi="David" w:cs="David" w:hint="cs"/>
          <w:sz w:val="24"/>
          <w:szCs w:val="24"/>
          <w:rtl/>
        </w:rPr>
        <w:t xml:space="preserve"> </w:t>
      </w:r>
      <w:r w:rsidRPr="006534B3">
        <w:rPr>
          <w:rFonts w:asciiTheme="majorBidi" w:hAnsiTheme="majorBidi" w:cstheme="majorBidi"/>
          <w:sz w:val="24"/>
          <w:szCs w:val="24"/>
          <w:rtl/>
        </w:rPr>
        <w:t>בשו"ע סייג את האיסור גם</w:t>
      </w:r>
      <w:r w:rsidRPr="006534B3">
        <w:rPr>
          <w:rFonts w:ascii="David" w:hAnsi="David" w:cs="David" w:hint="cs"/>
          <w:sz w:val="24"/>
          <w:szCs w:val="24"/>
          <w:rtl/>
        </w:rPr>
        <w:t xml:space="preserve">  "</w:t>
      </w:r>
      <w:r w:rsidRPr="006534B3">
        <w:rPr>
          <w:rFonts w:ascii="David" w:hAnsi="David" w:cs="David"/>
          <w:sz w:val="24"/>
          <w:szCs w:val="24"/>
          <w:rtl/>
        </w:rPr>
        <w:t>חוץ מליל טבילה</w:t>
      </w:r>
      <w:r w:rsidRPr="006534B3">
        <w:rPr>
          <w:rStyle w:val="a9"/>
          <w:rFonts w:ascii="David" w:hAnsi="David" w:cs="David"/>
          <w:sz w:val="24"/>
          <w:szCs w:val="24"/>
          <w:rtl/>
        </w:rPr>
        <w:footnoteReference w:id="33"/>
      </w:r>
      <w:r w:rsidRPr="006534B3">
        <w:rPr>
          <w:rFonts w:ascii="David" w:hAnsi="David" w:cs="David" w:hint="cs"/>
          <w:sz w:val="24"/>
          <w:szCs w:val="24"/>
          <w:rtl/>
        </w:rPr>
        <w:t>".</w:t>
      </w:r>
    </w:p>
    <w:p w14:paraId="5FC1DE34" w14:textId="6669C10F" w:rsidR="00D80ABD" w:rsidRPr="006534B3" w:rsidRDefault="00C131A1" w:rsidP="00D80ABD">
      <w:pPr>
        <w:spacing w:after="0" w:line="360" w:lineRule="auto"/>
        <w:rPr>
          <w:rFonts w:asciiTheme="majorBidi" w:hAnsiTheme="majorBidi" w:cstheme="majorBidi"/>
          <w:sz w:val="24"/>
          <w:szCs w:val="24"/>
          <w:rtl/>
        </w:rPr>
      </w:pPr>
      <w:r w:rsidRPr="006534B3">
        <w:rPr>
          <w:rFonts w:asciiTheme="majorBidi" w:hAnsiTheme="majorBidi" w:cstheme="majorBidi" w:hint="cs"/>
          <w:sz w:val="24"/>
          <w:szCs w:val="24"/>
          <w:rtl/>
        </w:rPr>
        <w:t xml:space="preserve">המגן אברהם סבור, ששיקול 'ליל טבילה' יכול רק להצטרף ל'חשוכי בנים'. </w:t>
      </w:r>
      <w:r w:rsidRPr="006534B3">
        <w:rPr>
          <w:rFonts w:ascii="David" w:hAnsi="David" w:cs="David" w:hint="cs"/>
          <w:sz w:val="24"/>
          <w:szCs w:val="24"/>
          <w:rtl/>
        </w:rPr>
        <w:t>"</w:t>
      </w:r>
      <w:r w:rsidRPr="006534B3">
        <w:rPr>
          <w:rFonts w:ascii="David" w:hAnsi="David" w:cs="David"/>
          <w:sz w:val="24"/>
          <w:szCs w:val="24"/>
          <w:rtl/>
        </w:rPr>
        <w:t>דאף חשוכי בנים אין מותרים לשמש אלא בליל טבילה</w:t>
      </w:r>
      <w:r w:rsidRPr="006534B3">
        <w:rPr>
          <w:rFonts w:ascii="David" w:hAnsi="David" w:cs="David" w:hint="cs"/>
          <w:sz w:val="24"/>
          <w:szCs w:val="24"/>
          <w:rtl/>
        </w:rPr>
        <w:t xml:space="preserve">.. </w:t>
      </w:r>
      <w:r w:rsidRPr="006534B3">
        <w:rPr>
          <w:rFonts w:ascii="David" w:hAnsi="David" w:cs="David"/>
          <w:sz w:val="24"/>
          <w:szCs w:val="24"/>
          <w:rtl/>
        </w:rPr>
        <w:t xml:space="preserve">ומיהו מפשט גמ' דידן והפוסקים משמע דחשוכי בנים משמשין לעולם דלא קי"ל כר"י אבל </w:t>
      </w:r>
      <w:r w:rsidRPr="006534B3">
        <w:rPr>
          <w:rFonts w:ascii="David" w:hAnsi="David" w:cs="David"/>
          <w:b/>
          <w:bCs/>
          <w:sz w:val="24"/>
          <w:szCs w:val="24"/>
          <w:rtl/>
        </w:rPr>
        <w:t>להתיר בליל טבילה אין לו שורש וענף</w:t>
      </w:r>
      <w:r w:rsidRPr="006534B3">
        <w:rPr>
          <w:rStyle w:val="a9"/>
          <w:rFonts w:ascii="David" w:hAnsi="David" w:cs="David"/>
          <w:sz w:val="24"/>
          <w:szCs w:val="24"/>
          <w:rtl/>
        </w:rPr>
        <w:footnoteReference w:id="34"/>
      </w:r>
      <w:r w:rsidRPr="006534B3">
        <w:rPr>
          <w:rFonts w:ascii="David" w:hAnsi="David" w:cs="David" w:hint="cs"/>
          <w:sz w:val="24"/>
          <w:szCs w:val="24"/>
          <w:rtl/>
        </w:rPr>
        <w:t xml:space="preserve">". </w:t>
      </w:r>
      <w:r w:rsidRPr="006534B3">
        <w:rPr>
          <w:rFonts w:asciiTheme="majorBidi" w:hAnsiTheme="majorBidi" w:cstheme="majorBidi" w:hint="cs"/>
          <w:sz w:val="24"/>
          <w:szCs w:val="24"/>
          <w:rtl/>
        </w:rPr>
        <w:t xml:space="preserve">גם בזה חולק עליו בשערי </w:t>
      </w:r>
      <w:r w:rsidRPr="006534B3">
        <w:rPr>
          <w:rFonts w:asciiTheme="majorBidi" w:hAnsiTheme="majorBidi" w:cstheme="majorBidi" w:hint="cs"/>
          <w:sz w:val="24"/>
          <w:szCs w:val="24"/>
          <w:rtl/>
        </w:rPr>
        <w:lastRenderedPageBreak/>
        <w:t>תשובה, ומוסיף קולות:</w:t>
      </w:r>
      <w:r w:rsidRPr="006534B3">
        <w:rPr>
          <w:rFonts w:ascii="David" w:hAnsi="David" w:cs="David"/>
          <w:sz w:val="24"/>
          <w:szCs w:val="24"/>
          <w:rtl/>
        </w:rPr>
        <w:t xml:space="preserve"> </w:t>
      </w:r>
      <w:r w:rsidRPr="006534B3">
        <w:rPr>
          <w:rFonts w:ascii="David" w:hAnsi="David" w:cs="David" w:hint="cs"/>
          <w:sz w:val="24"/>
          <w:szCs w:val="24"/>
          <w:rtl/>
        </w:rPr>
        <w:t>"</w:t>
      </w:r>
      <w:r w:rsidRPr="006534B3">
        <w:rPr>
          <w:rFonts w:ascii="David" w:hAnsi="David" w:cs="David"/>
          <w:sz w:val="24"/>
          <w:szCs w:val="24"/>
          <w:rtl/>
        </w:rPr>
        <w:t xml:space="preserve">ועיין בשו"ת שבו"י </w:t>
      </w:r>
      <w:r w:rsidRPr="006534B3">
        <w:rPr>
          <w:rFonts w:ascii="David" w:hAnsi="David" w:cs="David"/>
          <w:sz w:val="18"/>
          <w:szCs w:val="18"/>
          <w:rtl/>
        </w:rPr>
        <w:t>ח"ג סי' למ"ד</w:t>
      </w:r>
      <w:r w:rsidRPr="006534B3">
        <w:rPr>
          <w:rFonts w:ascii="David" w:hAnsi="David" w:cs="David" w:hint="cs"/>
          <w:sz w:val="18"/>
          <w:szCs w:val="18"/>
          <w:rtl/>
        </w:rPr>
        <w:t>..</w:t>
      </w:r>
      <w:r w:rsidRPr="006534B3">
        <w:rPr>
          <w:rFonts w:ascii="David" w:hAnsi="David" w:cs="David" w:hint="cs"/>
          <w:sz w:val="24"/>
          <w:szCs w:val="24"/>
          <w:rtl/>
        </w:rPr>
        <w:t xml:space="preserve"> </w:t>
      </w:r>
      <w:r w:rsidRPr="006534B3">
        <w:rPr>
          <w:rFonts w:ascii="David" w:hAnsi="David" w:cs="David"/>
          <w:sz w:val="24"/>
          <w:szCs w:val="24"/>
          <w:rtl/>
        </w:rPr>
        <w:t>כיון שהוא ממידות חסידות</w:t>
      </w:r>
      <w:r w:rsidR="006534B3" w:rsidRPr="006534B3">
        <w:rPr>
          <w:rStyle w:val="a9"/>
          <w:rFonts w:ascii="David" w:hAnsi="David" w:cs="David"/>
          <w:sz w:val="24"/>
          <w:szCs w:val="24"/>
          <w:rtl/>
        </w:rPr>
        <w:footnoteReference w:id="35"/>
      </w:r>
      <w:r w:rsidRPr="006534B3">
        <w:rPr>
          <w:rFonts w:ascii="David" w:hAnsi="David" w:cs="David"/>
          <w:sz w:val="24"/>
          <w:szCs w:val="24"/>
          <w:rtl/>
        </w:rPr>
        <w:t xml:space="preserve"> אפשר במקום חשש שאם לא ישמש יבוא לדבר עבירה</w:t>
      </w:r>
      <w:r w:rsidR="007F52D3">
        <w:rPr>
          <w:rFonts w:ascii="David" w:hAnsi="David" w:cs="David" w:hint="cs"/>
          <w:sz w:val="24"/>
          <w:szCs w:val="24"/>
          <w:rtl/>
        </w:rPr>
        <w:t>,</w:t>
      </w:r>
      <w:r w:rsidRPr="006534B3">
        <w:rPr>
          <w:rFonts w:ascii="David" w:hAnsi="David" w:cs="David"/>
          <w:sz w:val="24"/>
          <w:szCs w:val="24"/>
          <w:rtl/>
        </w:rPr>
        <w:t xml:space="preserve"> או הוא או אשתו אם משתוקקים אליו אפשר דמותר לשמש</w:t>
      </w:r>
      <w:r w:rsidRPr="006534B3">
        <w:rPr>
          <w:rFonts w:asciiTheme="majorBidi" w:hAnsiTheme="majorBidi" w:cstheme="majorBidi" w:hint="cs"/>
          <w:sz w:val="24"/>
          <w:szCs w:val="24"/>
          <w:rtl/>
        </w:rPr>
        <w:t>".</w:t>
      </w:r>
      <w:r w:rsidR="006534B3" w:rsidRPr="006534B3">
        <w:rPr>
          <w:rFonts w:asciiTheme="majorBidi" w:hAnsiTheme="majorBidi" w:cstheme="majorBidi" w:hint="cs"/>
          <w:sz w:val="24"/>
          <w:szCs w:val="24"/>
          <w:rtl/>
        </w:rPr>
        <w:t xml:space="preserve"> כן פסק בערוך השולחן</w:t>
      </w:r>
      <w:r w:rsidR="006534B3" w:rsidRPr="006534B3">
        <w:rPr>
          <w:rStyle w:val="a9"/>
          <w:rFonts w:asciiTheme="majorBidi" w:hAnsiTheme="majorBidi" w:cstheme="majorBidi"/>
          <w:sz w:val="24"/>
          <w:szCs w:val="24"/>
          <w:rtl/>
        </w:rPr>
        <w:footnoteReference w:id="36"/>
      </w:r>
      <w:r w:rsidR="006534B3" w:rsidRPr="006534B3">
        <w:rPr>
          <w:rFonts w:asciiTheme="majorBidi" w:hAnsiTheme="majorBidi" w:cstheme="majorBidi" w:hint="cs"/>
          <w:sz w:val="24"/>
          <w:szCs w:val="24"/>
          <w:rtl/>
        </w:rPr>
        <w:t>. הרב מברטנורא מציע שמחלוקת קדומה היא בין יוסף ללוי..</w:t>
      </w:r>
    </w:p>
    <w:p w14:paraId="304CB1BB" w14:textId="5C4FF9ED" w:rsidR="006534B3" w:rsidRDefault="006534B3" w:rsidP="006534B3">
      <w:pPr>
        <w:spacing w:after="0" w:line="360" w:lineRule="auto"/>
        <w:rPr>
          <w:rFonts w:ascii="David" w:hAnsi="David" w:cs="David"/>
          <w:sz w:val="24"/>
          <w:szCs w:val="24"/>
          <w:rtl/>
        </w:rPr>
      </w:pPr>
      <w:r w:rsidRPr="006534B3">
        <w:rPr>
          <w:rFonts w:ascii="David" w:hAnsi="David" w:cs="David" w:hint="cs"/>
          <w:sz w:val="24"/>
          <w:szCs w:val="24"/>
          <w:rtl/>
        </w:rPr>
        <w:t>"</w:t>
      </w:r>
      <w:r w:rsidR="00800E12" w:rsidRPr="006534B3">
        <w:rPr>
          <w:rFonts w:ascii="David" w:hAnsi="David" w:cs="David"/>
          <w:sz w:val="24"/>
          <w:szCs w:val="24"/>
          <w:rtl/>
        </w:rPr>
        <w:t>י"ל דלוי ויוסף היו חלוקים במאי דאמ' חשוכי בנים משמשים מטתן בשני רעבון</w:t>
      </w:r>
      <w:r w:rsidR="007F52D3">
        <w:rPr>
          <w:rFonts w:ascii="David" w:hAnsi="David" w:cs="David" w:hint="cs"/>
          <w:sz w:val="24"/>
          <w:szCs w:val="24"/>
          <w:rtl/>
        </w:rPr>
        <w:t>,</w:t>
      </w:r>
      <w:r w:rsidR="00800E12" w:rsidRPr="006534B3">
        <w:rPr>
          <w:rFonts w:ascii="David" w:hAnsi="David" w:cs="David"/>
          <w:sz w:val="24"/>
          <w:szCs w:val="24"/>
          <w:rtl/>
        </w:rPr>
        <w:t xml:space="preserve"> דלוי שמיע ליה ויוסף לא שמיע ליה</w:t>
      </w:r>
      <w:r w:rsidRPr="006534B3">
        <w:rPr>
          <w:rStyle w:val="a9"/>
          <w:rFonts w:ascii="David" w:hAnsi="David" w:cs="David"/>
          <w:sz w:val="24"/>
          <w:szCs w:val="24"/>
          <w:rtl/>
        </w:rPr>
        <w:footnoteReference w:id="37"/>
      </w:r>
      <w:r w:rsidRPr="006534B3">
        <w:rPr>
          <w:rFonts w:ascii="David" w:hAnsi="David" w:cs="David" w:hint="cs"/>
          <w:sz w:val="24"/>
          <w:szCs w:val="24"/>
          <w:rtl/>
        </w:rPr>
        <w:t xml:space="preserve">". </w:t>
      </w:r>
      <w:r w:rsidRPr="006534B3">
        <w:rPr>
          <w:rFonts w:asciiTheme="majorBidi" w:hAnsiTheme="majorBidi" w:cstheme="majorBidi" w:hint="cs"/>
          <w:sz w:val="24"/>
          <w:szCs w:val="24"/>
          <w:rtl/>
        </w:rPr>
        <w:t xml:space="preserve">החפץ חיים מציע קולא נוספת, על סמך פירוש מחודש </w:t>
      </w:r>
      <w:r w:rsidR="007F52D3">
        <w:rPr>
          <w:rFonts w:asciiTheme="majorBidi" w:hAnsiTheme="majorBidi" w:cstheme="majorBidi" w:hint="cs"/>
          <w:sz w:val="24"/>
          <w:szCs w:val="24"/>
          <w:rtl/>
        </w:rPr>
        <w:t xml:space="preserve">לביטוי </w:t>
      </w:r>
      <w:r w:rsidRPr="006534B3">
        <w:rPr>
          <w:rFonts w:asciiTheme="majorBidi" w:hAnsiTheme="majorBidi" w:cstheme="majorBidi" w:hint="cs"/>
          <w:sz w:val="24"/>
          <w:szCs w:val="24"/>
          <w:rtl/>
        </w:rPr>
        <w:t xml:space="preserve">'חשוכי בנים': </w:t>
      </w:r>
      <w:r w:rsidRPr="006534B3">
        <w:rPr>
          <w:rFonts w:ascii="David" w:hAnsi="David" w:cs="David" w:hint="cs"/>
          <w:sz w:val="24"/>
          <w:szCs w:val="24"/>
          <w:rtl/>
        </w:rPr>
        <w:t>"</w:t>
      </w:r>
      <w:r w:rsidRPr="006534B3">
        <w:rPr>
          <w:rFonts w:ascii="David" w:hAnsi="David" w:cs="David"/>
          <w:sz w:val="24"/>
          <w:szCs w:val="24"/>
          <w:rtl/>
        </w:rPr>
        <w:t>אם יש לו בנים מחללי שבת וכונתו רק כדי שיוליד בנים כשרים</w:t>
      </w:r>
      <w:r w:rsidR="007F52D3">
        <w:rPr>
          <w:rFonts w:ascii="David" w:hAnsi="David" w:cs="David" w:hint="cs"/>
          <w:sz w:val="24"/>
          <w:szCs w:val="24"/>
          <w:rtl/>
        </w:rPr>
        <w:t>-</w:t>
      </w:r>
      <w:r w:rsidRPr="006534B3">
        <w:rPr>
          <w:rFonts w:ascii="David" w:hAnsi="David" w:cs="David"/>
          <w:sz w:val="24"/>
          <w:szCs w:val="24"/>
          <w:rtl/>
        </w:rPr>
        <w:t xml:space="preserve"> מסתברא דדינו כחשוכי בנים</w:t>
      </w:r>
      <w:r w:rsidRPr="006534B3">
        <w:rPr>
          <w:rStyle w:val="a9"/>
          <w:rFonts w:ascii="David" w:hAnsi="David" w:cs="David"/>
          <w:sz w:val="24"/>
          <w:szCs w:val="24"/>
          <w:rtl/>
        </w:rPr>
        <w:footnoteReference w:id="38"/>
      </w:r>
      <w:r w:rsidRPr="006534B3">
        <w:rPr>
          <w:rFonts w:ascii="David" w:hAnsi="David" w:cs="David" w:hint="cs"/>
          <w:sz w:val="24"/>
          <w:szCs w:val="24"/>
          <w:rtl/>
        </w:rPr>
        <w:t>".</w:t>
      </w:r>
    </w:p>
    <w:p w14:paraId="352684C0" w14:textId="29074525" w:rsidR="0097670A" w:rsidRDefault="0097670A" w:rsidP="0097670A">
      <w:pPr>
        <w:pStyle w:val="aa"/>
        <w:numPr>
          <w:ilvl w:val="0"/>
          <w:numId w:val="1"/>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בשואה</w:t>
      </w:r>
    </w:p>
    <w:p w14:paraId="66DFD077" w14:textId="0333E4A0" w:rsidR="00551A12" w:rsidRPr="00551A12" w:rsidRDefault="0097670A" w:rsidP="00551A12">
      <w:pPr>
        <w:spacing w:after="0" w:line="360" w:lineRule="auto"/>
        <w:ind w:left="360"/>
        <w:rPr>
          <w:rFonts w:asciiTheme="majorBidi" w:hAnsiTheme="majorBidi" w:cstheme="majorBidi"/>
          <w:sz w:val="24"/>
          <w:szCs w:val="24"/>
          <w:rtl/>
        </w:rPr>
      </w:pPr>
      <w:r w:rsidRPr="0097670A">
        <w:rPr>
          <w:rFonts w:asciiTheme="majorBidi" w:hAnsiTheme="majorBidi" w:cstheme="majorBidi" w:hint="cs"/>
          <w:sz w:val="24"/>
          <w:szCs w:val="24"/>
          <w:rtl/>
        </w:rPr>
        <w:t>במקומות</w:t>
      </w:r>
      <w:r>
        <w:rPr>
          <w:rFonts w:asciiTheme="majorBidi" w:hAnsiTheme="majorBidi" w:cstheme="majorBidi" w:hint="cs"/>
          <w:sz w:val="24"/>
          <w:szCs w:val="24"/>
          <w:rtl/>
        </w:rPr>
        <w:t xml:space="preserve"> רבים מסרו נפשם על קיום מקוואות גם בדוחק גדול בגטאות, ולמרות איום עונש מוות מן השלטונות</w:t>
      </w:r>
      <w:r>
        <w:rPr>
          <w:rStyle w:val="a9"/>
          <w:rFonts w:asciiTheme="majorBidi" w:hAnsiTheme="majorBidi" w:cstheme="majorBidi"/>
          <w:sz w:val="24"/>
          <w:szCs w:val="24"/>
          <w:rtl/>
        </w:rPr>
        <w:footnoteReference w:id="39"/>
      </w:r>
      <w:r>
        <w:rPr>
          <w:rFonts w:asciiTheme="majorBidi" w:hAnsiTheme="majorBidi" w:cstheme="majorBidi" w:hint="cs"/>
          <w:sz w:val="24"/>
          <w:szCs w:val="24"/>
          <w:rtl/>
        </w:rPr>
        <w:t xml:space="preserve">. </w:t>
      </w:r>
      <w:r w:rsidR="00357476">
        <w:rPr>
          <w:rFonts w:asciiTheme="majorBidi" w:hAnsiTheme="majorBidi" w:cstheme="majorBidi" w:hint="cs"/>
          <w:sz w:val="24"/>
          <w:szCs w:val="24"/>
          <w:rtl/>
        </w:rPr>
        <w:t xml:space="preserve">אולם </w:t>
      </w:r>
      <w:r>
        <w:rPr>
          <w:rFonts w:asciiTheme="majorBidi" w:hAnsiTheme="majorBidi" w:cstheme="majorBidi" w:hint="cs"/>
          <w:sz w:val="24"/>
          <w:szCs w:val="24"/>
          <w:rtl/>
        </w:rPr>
        <w:t>הרב אהרונסון</w:t>
      </w:r>
      <w:r>
        <w:rPr>
          <w:rStyle w:val="a9"/>
          <w:rFonts w:asciiTheme="majorBidi" w:hAnsiTheme="majorBidi" w:cstheme="majorBidi"/>
          <w:sz w:val="24"/>
          <w:szCs w:val="24"/>
          <w:rtl/>
        </w:rPr>
        <w:footnoteReference w:id="40"/>
      </w:r>
      <w:r>
        <w:rPr>
          <w:rFonts w:asciiTheme="majorBidi" w:hAnsiTheme="majorBidi" w:cstheme="majorBidi" w:hint="cs"/>
          <w:sz w:val="24"/>
          <w:szCs w:val="24"/>
          <w:rtl/>
        </w:rPr>
        <w:t xml:space="preserve"> </w:t>
      </w:r>
      <w:r w:rsidR="00AF3AA6">
        <w:rPr>
          <w:rFonts w:asciiTheme="majorBidi" w:hAnsiTheme="majorBidi" w:cstheme="majorBidi" w:hint="cs"/>
          <w:sz w:val="24"/>
          <w:szCs w:val="24"/>
          <w:rtl/>
        </w:rPr>
        <w:t>פסק</w:t>
      </w:r>
      <w:r>
        <w:rPr>
          <w:rFonts w:asciiTheme="majorBidi" w:hAnsiTheme="majorBidi" w:cstheme="majorBidi" w:hint="cs"/>
          <w:sz w:val="24"/>
          <w:szCs w:val="24"/>
          <w:rtl/>
        </w:rPr>
        <w:t>: "</w:t>
      </w:r>
      <w:r>
        <w:rPr>
          <w:rFonts w:ascii="David" w:hAnsi="David" w:cs="David" w:hint="cs"/>
          <w:sz w:val="24"/>
          <w:szCs w:val="24"/>
          <w:rtl/>
        </w:rPr>
        <w:t xml:space="preserve">בשנת רעבון ועת צרה אסור נהוג חיי אישות, רק לחשוכי בנים. ובפרט בעת צרה כזאת, אשר מיום היות ישראל לעם לא הייתה זאת עוד, להשמיד ולהרוג בפרט ילדים ונשים מעוברות.. </w:t>
      </w:r>
      <w:r>
        <w:rPr>
          <w:rFonts w:ascii="David" w:hAnsi="David" w:cs="David" w:hint="cs"/>
          <w:b/>
          <w:bCs/>
          <w:sz w:val="24"/>
          <w:szCs w:val="24"/>
          <w:rtl/>
        </w:rPr>
        <w:t xml:space="preserve">אפשר אסרו גם למי שלא קיים עוד פריה ורביה. </w:t>
      </w:r>
      <w:r w:rsidRPr="0097670A">
        <w:rPr>
          <w:rFonts w:ascii="David" w:hAnsi="David" w:cs="David" w:hint="cs"/>
          <w:sz w:val="24"/>
          <w:szCs w:val="24"/>
          <w:rtl/>
        </w:rPr>
        <w:t>וראיה מעמרם ויוכבד...</w:t>
      </w:r>
      <w:r>
        <w:rPr>
          <w:rFonts w:ascii="David" w:hAnsi="David" w:cs="David" w:hint="cs"/>
          <w:sz w:val="24"/>
          <w:szCs w:val="24"/>
          <w:rtl/>
        </w:rPr>
        <w:t xml:space="preserve"> והרבי ממונקץ' כותב שנשאל להלכה בימי המלחמה העולמית</w:t>
      </w:r>
      <w:r>
        <w:rPr>
          <w:rStyle w:val="a9"/>
          <w:rFonts w:ascii="David" w:hAnsi="David" w:cs="David"/>
          <w:sz w:val="24"/>
          <w:szCs w:val="24"/>
          <w:rtl/>
        </w:rPr>
        <w:footnoteReference w:id="41"/>
      </w:r>
      <w:r>
        <w:rPr>
          <w:rFonts w:ascii="David" w:hAnsi="David" w:cs="David" w:hint="cs"/>
          <w:sz w:val="24"/>
          <w:szCs w:val="24"/>
          <w:rtl/>
        </w:rPr>
        <w:t>.. והשיב בפשטות דמותר</w:t>
      </w:r>
      <w:r>
        <w:rPr>
          <w:rStyle w:val="a9"/>
          <w:rFonts w:ascii="David" w:hAnsi="David" w:cs="David"/>
          <w:sz w:val="24"/>
          <w:szCs w:val="24"/>
          <w:rtl/>
        </w:rPr>
        <w:footnoteReference w:id="42"/>
      </w:r>
      <w:r w:rsidR="006D1E64">
        <w:rPr>
          <w:rFonts w:ascii="David" w:hAnsi="David" w:cs="David" w:hint="cs"/>
          <w:sz w:val="24"/>
          <w:szCs w:val="24"/>
          <w:rtl/>
        </w:rPr>
        <w:t>.. ולדעתי אין דמיון.. במלחמה זו</w:t>
      </w:r>
      <w:r w:rsidR="00357476">
        <w:rPr>
          <w:rFonts w:ascii="David" w:hAnsi="David" w:cs="David" w:hint="cs"/>
          <w:sz w:val="24"/>
          <w:szCs w:val="24"/>
          <w:rtl/>
        </w:rPr>
        <w:t>,</w:t>
      </w:r>
      <w:r w:rsidR="006D1E64">
        <w:rPr>
          <w:rFonts w:ascii="David" w:hAnsi="David" w:cs="David" w:hint="cs"/>
          <w:sz w:val="24"/>
          <w:szCs w:val="24"/>
          <w:rtl/>
        </w:rPr>
        <w:t xml:space="preserve"> ופשוט</w:t>
      </w:r>
      <w:r w:rsidR="006D1E64">
        <w:rPr>
          <w:rStyle w:val="a9"/>
          <w:rFonts w:ascii="David" w:hAnsi="David" w:cs="David"/>
          <w:sz w:val="24"/>
          <w:szCs w:val="24"/>
          <w:rtl/>
        </w:rPr>
        <w:footnoteReference w:id="43"/>
      </w:r>
      <w:r w:rsidR="006D1E64">
        <w:rPr>
          <w:rFonts w:ascii="David" w:hAnsi="David" w:cs="David" w:hint="cs"/>
          <w:sz w:val="24"/>
          <w:szCs w:val="24"/>
          <w:rtl/>
        </w:rPr>
        <w:t xml:space="preserve">". </w:t>
      </w:r>
      <w:r w:rsidR="00AF3AA6" w:rsidRPr="00AF3AA6">
        <w:rPr>
          <w:rFonts w:asciiTheme="majorBidi" w:hAnsiTheme="majorBidi" w:cstheme="majorBidi"/>
          <w:sz w:val="24"/>
          <w:szCs w:val="24"/>
          <w:rtl/>
        </w:rPr>
        <w:t xml:space="preserve">על פי החילוקים שהציע בציץ אליעזר, </w:t>
      </w:r>
      <w:r w:rsidR="00551A12">
        <w:rPr>
          <w:rFonts w:asciiTheme="majorBidi" w:hAnsiTheme="majorBidi" w:cstheme="majorBidi" w:hint="cs"/>
          <w:sz w:val="24"/>
          <w:szCs w:val="24"/>
          <w:rtl/>
        </w:rPr>
        <w:t xml:space="preserve">בפרט החילוק בין מעשה שמים למעשה אדם,  </w:t>
      </w:r>
      <w:r w:rsidR="006D1E64" w:rsidRPr="00AF3AA6">
        <w:rPr>
          <w:rFonts w:asciiTheme="majorBidi" w:hAnsiTheme="majorBidi" w:cstheme="majorBidi"/>
          <w:sz w:val="24"/>
          <w:szCs w:val="24"/>
          <w:rtl/>
        </w:rPr>
        <w:t>קשה להניח שהכוונה היא לאסור חיי משפחה גם על יהו</w:t>
      </w:r>
      <w:r w:rsidR="006D1E64">
        <w:rPr>
          <w:rFonts w:asciiTheme="majorBidi" w:hAnsiTheme="majorBidi" w:cstheme="majorBidi" w:hint="cs"/>
          <w:sz w:val="24"/>
          <w:szCs w:val="24"/>
          <w:rtl/>
        </w:rPr>
        <w:t>די הארץ וארצות הברית</w:t>
      </w:r>
      <w:r w:rsidR="00551A12">
        <w:rPr>
          <w:rStyle w:val="a9"/>
          <w:rFonts w:asciiTheme="majorBidi" w:hAnsiTheme="majorBidi" w:cstheme="majorBidi"/>
          <w:sz w:val="24"/>
          <w:szCs w:val="24"/>
          <w:rtl/>
        </w:rPr>
        <w:footnoteReference w:id="44"/>
      </w:r>
      <w:r w:rsidR="006D1E64">
        <w:rPr>
          <w:rFonts w:asciiTheme="majorBidi" w:hAnsiTheme="majorBidi" w:cstheme="majorBidi" w:hint="cs"/>
          <w:sz w:val="24"/>
          <w:szCs w:val="24"/>
          <w:rtl/>
        </w:rPr>
        <w:t>.</w:t>
      </w:r>
      <w:r w:rsidR="00551A12">
        <w:rPr>
          <w:rFonts w:asciiTheme="majorBidi" w:hAnsiTheme="majorBidi" w:cstheme="majorBidi" w:hint="cs"/>
          <w:sz w:val="24"/>
          <w:szCs w:val="24"/>
          <w:rtl/>
        </w:rPr>
        <w:t xml:space="preserve"> ניתן להציע, מפורסמים דברים המיוחסים לרב ניסנבאום: "</w:t>
      </w:r>
      <w:r w:rsidR="00551A12" w:rsidRPr="00551A12">
        <w:rPr>
          <w:rFonts w:ascii="David" w:hAnsi="David" w:cs="David"/>
          <w:color w:val="000000"/>
          <w:sz w:val="24"/>
          <w:szCs w:val="24"/>
          <w:shd w:val="clear" w:color="auto" w:fill="FFFFFF"/>
          <w:rtl/>
        </w:rPr>
        <w:t>זוהי שעת קידוש החיים ולא קדוש השם בהליכה למוות. בעבר דרשו מאיתנו אויבינו את נשמותינו והיהודי הקריב גופו בקידוש השם. עתה דורש האוייב את גופו של היהודי. לפיכך חייב יהודי להגן עליו ולשומרו</w:t>
      </w:r>
      <w:r w:rsidR="00551A12">
        <w:rPr>
          <w:rStyle w:val="a9"/>
          <w:rFonts w:ascii="David" w:hAnsi="David" w:cs="David"/>
          <w:color w:val="000000"/>
          <w:sz w:val="24"/>
          <w:szCs w:val="24"/>
          <w:shd w:val="clear" w:color="auto" w:fill="FFFFFF"/>
          <w:rtl/>
        </w:rPr>
        <w:footnoteReference w:id="45"/>
      </w:r>
      <w:r w:rsidR="00551A12">
        <w:rPr>
          <w:rFonts w:ascii="David" w:hAnsi="David" w:cs="David" w:hint="cs"/>
          <w:color w:val="000000"/>
          <w:sz w:val="24"/>
          <w:szCs w:val="24"/>
          <w:shd w:val="clear" w:color="auto" w:fill="FFFFFF"/>
          <w:rtl/>
        </w:rPr>
        <w:t>".</w:t>
      </w:r>
      <w:r w:rsidR="00551A12">
        <w:rPr>
          <w:rFonts w:asciiTheme="majorBidi" w:hAnsiTheme="majorBidi" w:cstheme="majorBidi" w:hint="cs"/>
          <w:sz w:val="24"/>
          <w:szCs w:val="24"/>
          <w:rtl/>
        </w:rPr>
        <w:t xml:space="preserve"> אף בענייננו מסתבר לומר: בעת שהורגים יהודים לשם הריגתם, מצווה על מי שאינו נתון בסכנה ישירה להרבות בילודה. </w:t>
      </w:r>
    </w:p>
    <w:p w14:paraId="67475C78" w14:textId="094B1EB1" w:rsidR="00800E12" w:rsidRPr="00551A12" w:rsidRDefault="00800E12" w:rsidP="006534B3">
      <w:pPr>
        <w:spacing w:after="0" w:line="360" w:lineRule="auto"/>
        <w:rPr>
          <w:rFonts w:ascii="David" w:hAnsi="David" w:cs="David"/>
          <w:sz w:val="24"/>
          <w:szCs w:val="24"/>
          <w:rtl/>
        </w:rPr>
      </w:pPr>
    </w:p>
    <w:p w14:paraId="279879AA" w14:textId="66F8469E" w:rsidR="007C72CC" w:rsidRPr="006534B3" w:rsidRDefault="007C72CC" w:rsidP="007C72CC">
      <w:pPr>
        <w:spacing w:after="0" w:line="360" w:lineRule="auto"/>
        <w:rPr>
          <w:rFonts w:ascii="David" w:hAnsi="David" w:cs="David"/>
          <w:sz w:val="24"/>
          <w:szCs w:val="24"/>
          <w:rtl/>
        </w:rPr>
      </w:pPr>
    </w:p>
    <w:p w14:paraId="4BFF9625" w14:textId="0B18723E" w:rsidR="007C72CC" w:rsidRPr="006534B3" w:rsidRDefault="00770D72" w:rsidP="007C72CC">
      <w:pPr>
        <w:spacing w:after="0" w:line="360" w:lineRule="auto"/>
        <w:rPr>
          <w:rFonts w:ascii="David" w:hAnsi="David" w:cs="David"/>
          <w:sz w:val="24"/>
          <w:szCs w:val="24"/>
          <w:rtl/>
        </w:rPr>
      </w:pPr>
      <w:r w:rsidRPr="006534B3">
        <w:rPr>
          <w:rFonts w:ascii="David" w:hAnsi="David" w:cs="David" w:hint="cs"/>
          <w:sz w:val="24"/>
          <w:szCs w:val="24"/>
          <w:rtl/>
        </w:rPr>
        <w:t xml:space="preserve"> </w:t>
      </w:r>
    </w:p>
    <w:p w14:paraId="573D1014" w14:textId="2E913065" w:rsidR="00F41CE8" w:rsidRPr="006534B3" w:rsidRDefault="00F1776E" w:rsidP="00F41CE8">
      <w:pPr>
        <w:spacing w:after="0" w:line="360" w:lineRule="auto"/>
        <w:rPr>
          <w:rFonts w:ascii="David" w:hAnsi="David" w:cs="David"/>
          <w:sz w:val="24"/>
          <w:szCs w:val="24"/>
          <w:rtl/>
        </w:rPr>
      </w:pPr>
      <w:r w:rsidRPr="006534B3">
        <w:rPr>
          <w:rFonts w:asciiTheme="majorBidi" w:hAnsiTheme="majorBidi" w:cstheme="majorBidi" w:hint="cs"/>
          <w:sz w:val="24"/>
          <w:szCs w:val="24"/>
          <w:rtl/>
        </w:rPr>
        <w:t xml:space="preserve"> </w:t>
      </w:r>
    </w:p>
    <w:p w14:paraId="385E17E5" w14:textId="0CC776C0" w:rsidR="00F1776E" w:rsidRPr="006534B3" w:rsidRDefault="00F1776E" w:rsidP="00F41CE8">
      <w:pPr>
        <w:spacing w:after="0" w:line="360" w:lineRule="auto"/>
        <w:rPr>
          <w:rFonts w:ascii="David" w:hAnsi="David" w:cs="David"/>
          <w:sz w:val="24"/>
          <w:szCs w:val="24"/>
          <w:rtl/>
        </w:rPr>
      </w:pPr>
    </w:p>
    <w:sectPr w:rsidR="00F1776E" w:rsidRPr="006534B3"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91967" w14:textId="77777777" w:rsidR="009A289D" w:rsidRDefault="009A289D" w:rsidP="00675EAE">
      <w:pPr>
        <w:spacing w:after="0" w:line="240" w:lineRule="auto"/>
      </w:pPr>
      <w:r>
        <w:separator/>
      </w:r>
    </w:p>
  </w:endnote>
  <w:endnote w:type="continuationSeparator" w:id="0">
    <w:p w14:paraId="43B41087" w14:textId="77777777" w:rsidR="009A289D" w:rsidRDefault="009A289D" w:rsidP="00675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301ED" w14:textId="77777777" w:rsidR="009A289D" w:rsidRDefault="009A289D" w:rsidP="00675EAE">
      <w:pPr>
        <w:spacing w:after="0" w:line="240" w:lineRule="auto"/>
      </w:pPr>
      <w:r>
        <w:separator/>
      </w:r>
    </w:p>
  </w:footnote>
  <w:footnote w:type="continuationSeparator" w:id="0">
    <w:p w14:paraId="53C10C1E" w14:textId="77777777" w:rsidR="009A289D" w:rsidRDefault="009A289D" w:rsidP="00675EAE">
      <w:pPr>
        <w:spacing w:after="0" w:line="240" w:lineRule="auto"/>
      </w:pPr>
      <w:r>
        <w:continuationSeparator/>
      </w:r>
    </w:p>
  </w:footnote>
  <w:footnote w:id="1">
    <w:p w14:paraId="447E91AE" w14:textId="1A1FE911" w:rsidR="00C95C9F" w:rsidRPr="006534B3" w:rsidRDefault="00C95C9F" w:rsidP="006534B3">
      <w:pPr>
        <w:spacing w:after="0" w:line="240" w:lineRule="auto"/>
        <w:rPr>
          <w:rFonts w:asciiTheme="majorBidi" w:hAnsiTheme="majorBidi" w:cstheme="majorBidi"/>
          <w:sz w:val="20"/>
          <w:szCs w:val="20"/>
          <w:rtl/>
        </w:rPr>
      </w:pPr>
      <w:r w:rsidRPr="006534B3">
        <w:rPr>
          <w:rStyle w:val="a9"/>
          <w:rFonts w:asciiTheme="majorBidi" w:hAnsiTheme="majorBidi" w:cstheme="majorBidi"/>
          <w:sz w:val="20"/>
          <w:szCs w:val="20"/>
        </w:rPr>
        <w:footnoteRef/>
      </w:r>
      <w:r w:rsidRPr="006534B3">
        <w:rPr>
          <w:rFonts w:asciiTheme="majorBidi" w:hAnsiTheme="majorBidi" w:cstheme="majorBidi"/>
          <w:sz w:val="20"/>
          <w:szCs w:val="20"/>
          <w:rtl/>
        </w:rPr>
        <w:t xml:space="preserve">  שו"ת ציץ אליעזר חלק יג סימן כא אות יג </w:t>
      </w:r>
      <w:r w:rsidR="006534B3">
        <w:rPr>
          <w:rFonts w:asciiTheme="majorBidi" w:hAnsiTheme="majorBidi" w:cstheme="majorBidi" w:hint="cs"/>
          <w:sz w:val="20"/>
          <w:szCs w:val="20"/>
          <w:rtl/>
        </w:rPr>
        <w:t xml:space="preserve">(להלן: ציץ אליעזר) </w:t>
      </w:r>
      <w:r w:rsidRPr="006534B3">
        <w:rPr>
          <w:rFonts w:asciiTheme="majorBidi" w:hAnsiTheme="majorBidi" w:cstheme="majorBidi"/>
          <w:sz w:val="20"/>
          <w:szCs w:val="20"/>
          <w:rtl/>
        </w:rPr>
        <w:t xml:space="preserve">בשם ספר מעיל צדקה (להבעל מדרש תלפיות ועוד) סי' תק"נ. </w:t>
      </w:r>
      <w:r w:rsidR="006534B3" w:rsidRPr="006534B3">
        <w:rPr>
          <w:rFonts w:asciiTheme="majorBidi" w:hAnsiTheme="majorBidi" w:cstheme="majorBidi"/>
          <w:sz w:val="20"/>
          <w:szCs w:val="20"/>
          <w:rtl/>
        </w:rPr>
        <w:t xml:space="preserve">אמנם </w:t>
      </w:r>
      <w:r w:rsidRPr="006534B3">
        <w:rPr>
          <w:rFonts w:asciiTheme="majorBidi" w:hAnsiTheme="majorBidi" w:cstheme="majorBidi"/>
          <w:sz w:val="20"/>
          <w:szCs w:val="20"/>
          <w:rtl/>
        </w:rPr>
        <w:t>הירושלמי חולק בטעם – אך בירושלמי לא מופיע לשון איסור.</w:t>
      </w:r>
    </w:p>
    <w:p w14:paraId="75D400F7" w14:textId="46A794A8" w:rsidR="00C95C9F" w:rsidRPr="006534B3" w:rsidRDefault="00C95C9F">
      <w:pPr>
        <w:pStyle w:val="a7"/>
        <w:rPr>
          <w:rFonts w:asciiTheme="majorBidi" w:hAnsiTheme="majorBidi" w:cstheme="majorBidi"/>
          <w:rtl/>
        </w:rPr>
      </w:pPr>
    </w:p>
  </w:footnote>
  <w:footnote w:id="2">
    <w:p w14:paraId="12800877" w14:textId="31E86D7F" w:rsidR="00053E9D" w:rsidRPr="006534B3" w:rsidRDefault="00053E9D" w:rsidP="006534B3">
      <w:pPr>
        <w:spacing w:after="0" w:line="360" w:lineRule="auto"/>
        <w:rPr>
          <w:rFonts w:asciiTheme="majorBidi" w:hAnsiTheme="majorBidi" w:cstheme="majorBidi"/>
          <w:sz w:val="20"/>
          <w:szCs w:val="20"/>
        </w:rPr>
      </w:pPr>
      <w:r w:rsidRPr="006534B3">
        <w:rPr>
          <w:rStyle w:val="a9"/>
          <w:rFonts w:asciiTheme="majorBidi" w:hAnsiTheme="majorBidi" w:cstheme="majorBidi"/>
          <w:sz w:val="20"/>
          <w:szCs w:val="20"/>
        </w:rPr>
        <w:footnoteRef/>
      </w:r>
      <w:r w:rsidRPr="006534B3">
        <w:rPr>
          <w:rFonts w:asciiTheme="majorBidi" w:hAnsiTheme="majorBidi" w:cstheme="majorBidi"/>
          <w:sz w:val="20"/>
          <w:szCs w:val="20"/>
          <w:rtl/>
        </w:rPr>
        <w:t xml:space="preserve"> רש"י  ד"ה אסור.</w:t>
      </w:r>
    </w:p>
  </w:footnote>
  <w:footnote w:id="3">
    <w:p w14:paraId="239A156B" w14:textId="45C975BD" w:rsidR="00053E9D" w:rsidRPr="006534B3" w:rsidRDefault="00053E9D" w:rsidP="006534B3">
      <w:pPr>
        <w:pStyle w:val="a7"/>
        <w:spacing w:line="360" w:lineRule="auto"/>
        <w:rPr>
          <w:rFonts w:asciiTheme="majorBidi" w:hAnsiTheme="majorBidi" w:cstheme="majorBidi"/>
          <w:rtl/>
        </w:rPr>
      </w:pPr>
      <w:r w:rsidRPr="006534B3">
        <w:rPr>
          <w:rStyle w:val="a9"/>
          <w:rFonts w:asciiTheme="majorBidi" w:hAnsiTheme="majorBidi" w:cstheme="majorBidi"/>
        </w:rPr>
        <w:footnoteRef/>
      </w:r>
      <w:r w:rsidRPr="006534B3">
        <w:rPr>
          <w:rFonts w:asciiTheme="majorBidi" w:hAnsiTheme="majorBidi" w:cstheme="majorBidi"/>
          <w:rtl/>
        </w:rPr>
        <w:t xml:space="preserve"> תלמוד ירושלמי מסכת תענית פרק א הלכה ו.</w:t>
      </w:r>
      <w:r w:rsidR="00DF77A5">
        <w:rPr>
          <w:rFonts w:asciiTheme="majorBidi" w:hAnsiTheme="majorBidi" w:cstheme="majorBidi" w:hint="cs"/>
          <w:rtl/>
        </w:rPr>
        <w:t xml:space="preserve"> </w:t>
      </w:r>
    </w:p>
  </w:footnote>
  <w:footnote w:id="4">
    <w:p w14:paraId="7ACFCC8B" w14:textId="26537D50" w:rsidR="00DF77A5" w:rsidRPr="00DF77A5" w:rsidRDefault="00053E9D" w:rsidP="00DF77A5">
      <w:pPr>
        <w:pStyle w:val="a7"/>
        <w:rPr>
          <w:rFonts w:asciiTheme="majorBidi" w:hAnsiTheme="majorBidi" w:cstheme="majorBidi"/>
          <w:rtl/>
        </w:rPr>
      </w:pPr>
      <w:r w:rsidRPr="006534B3">
        <w:rPr>
          <w:rStyle w:val="a9"/>
          <w:rFonts w:asciiTheme="majorBidi" w:hAnsiTheme="majorBidi" w:cstheme="majorBidi"/>
        </w:rPr>
        <w:footnoteRef/>
      </w:r>
      <w:r w:rsidRPr="006534B3">
        <w:rPr>
          <w:rFonts w:asciiTheme="majorBidi" w:hAnsiTheme="majorBidi" w:cstheme="majorBidi"/>
          <w:rtl/>
        </w:rPr>
        <w:t xml:space="preserve"> מור וקציעה סימן תקעד.</w:t>
      </w:r>
      <w:r w:rsidR="00DF77A5">
        <w:rPr>
          <w:rFonts w:asciiTheme="majorBidi" w:hAnsiTheme="majorBidi" w:cstheme="majorBidi" w:hint="cs"/>
          <w:rtl/>
        </w:rPr>
        <w:t xml:space="preserve"> זו גם דעת הנצי"ב (העמק שאלה, שאילתא לב, ד).</w:t>
      </w:r>
      <w:r w:rsidR="00F1776E" w:rsidRPr="006534B3">
        <w:rPr>
          <w:rFonts w:asciiTheme="majorBidi" w:hAnsiTheme="majorBidi" w:cstheme="majorBidi"/>
          <w:rtl/>
        </w:rPr>
        <w:t xml:space="preserve"> </w:t>
      </w:r>
      <w:r w:rsidR="00DF77A5">
        <w:rPr>
          <w:rFonts w:asciiTheme="majorBidi" w:hAnsiTheme="majorBidi" w:cstheme="majorBidi" w:hint="cs"/>
          <w:rtl/>
        </w:rPr>
        <w:t xml:space="preserve">לעומת זאת כתב </w:t>
      </w:r>
      <w:r w:rsidR="00DF77A5" w:rsidRPr="00DF77A5">
        <w:rPr>
          <w:rFonts w:asciiTheme="majorBidi" w:hAnsiTheme="majorBidi" w:cs="Times New Roman"/>
          <w:rtl/>
        </w:rPr>
        <w:t>אור החיים</w:t>
      </w:r>
      <w:r w:rsidR="00DF77A5">
        <w:rPr>
          <w:rFonts w:asciiTheme="majorBidi" w:hAnsiTheme="majorBidi" w:cs="Times New Roman" w:hint="cs"/>
          <w:rtl/>
        </w:rPr>
        <w:t>:</w:t>
      </w:r>
    </w:p>
    <w:p w14:paraId="1BBBB9B8" w14:textId="66F2BD9D" w:rsidR="00053E9D" w:rsidRPr="006534B3" w:rsidRDefault="00DF77A5" w:rsidP="007F52D3">
      <w:pPr>
        <w:pStyle w:val="a7"/>
        <w:rPr>
          <w:rFonts w:asciiTheme="majorBidi" w:hAnsiTheme="majorBidi" w:cstheme="majorBidi"/>
        </w:rPr>
      </w:pPr>
      <w:r w:rsidRPr="00DF77A5">
        <w:rPr>
          <w:rFonts w:ascii="David" w:hAnsi="David" w:cs="David"/>
          <w:rtl/>
        </w:rPr>
        <w:t>"לא אמרו איסור דבר זה אלא לצד צער ישראל ולא לצד צער האומות כי ירעבו כי לא מעלין ולא מורידין, ואז</w:t>
      </w:r>
      <w:r w:rsidR="007F52D3">
        <w:rPr>
          <w:rFonts w:ascii="David" w:hAnsi="David" w:cs="David" w:hint="cs"/>
          <w:rtl/>
        </w:rPr>
        <w:t xml:space="preserve">.. </w:t>
      </w:r>
      <w:r w:rsidRPr="00DF77A5">
        <w:rPr>
          <w:rFonts w:ascii="David" w:hAnsi="David" w:cs="David"/>
          <w:rtl/>
        </w:rPr>
        <w:t>אין חיוב למנוע עצמו לצד צרת האומות"</w:t>
      </w:r>
      <w:r>
        <w:rPr>
          <w:rFonts w:asciiTheme="majorBidi" w:hAnsiTheme="majorBidi" w:cs="Times New Roman" w:hint="cs"/>
          <w:rtl/>
        </w:rPr>
        <w:t xml:space="preserve"> (</w:t>
      </w:r>
      <w:r w:rsidRPr="00DF77A5">
        <w:rPr>
          <w:rFonts w:asciiTheme="majorBidi" w:hAnsiTheme="majorBidi" w:cs="Times New Roman"/>
          <w:rtl/>
        </w:rPr>
        <w:t>בראשית פרק מא פסוק נ</w:t>
      </w:r>
      <w:r>
        <w:rPr>
          <w:rFonts w:asciiTheme="majorBidi" w:hAnsiTheme="majorBidi" w:cstheme="majorBidi" w:hint="cs"/>
          <w:rtl/>
        </w:rPr>
        <w:t>).</w:t>
      </w:r>
    </w:p>
  </w:footnote>
  <w:footnote w:id="5">
    <w:p w14:paraId="2E5F6E0A" w14:textId="3CBD5E6E" w:rsidR="00BD6DC0" w:rsidRPr="006534B3" w:rsidRDefault="00BD6DC0" w:rsidP="006534B3">
      <w:pPr>
        <w:spacing w:after="0" w:line="360" w:lineRule="auto"/>
        <w:rPr>
          <w:rFonts w:asciiTheme="majorBidi" w:hAnsiTheme="majorBidi" w:cstheme="majorBidi"/>
          <w:sz w:val="20"/>
          <w:szCs w:val="20"/>
        </w:rPr>
      </w:pPr>
      <w:r w:rsidRPr="006534B3">
        <w:rPr>
          <w:rStyle w:val="a9"/>
          <w:rFonts w:asciiTheme="majorBidi" w:hAnsiTheme="majorBidi" w:cstheme="majorBidi"/>
          <w:sz w:val="20"/>
          <w:szCs w:val="20"/>
        </w:rPr>
        <w:footnoteRef/>
      </w:r>
      <w:r w:rsidRPr="006534B3">
        <w:rPr>
          <w:rFonts w:asciiTheme="majorBidi" w:hAnsiTheme="majorBidi" w:cstheme="majorBidi"/>
          <w:sz w:val="20"/>
          <w:szCs w:val="20"/>
          <w:rtl/>
        </w:rPr>
        <w:t xml:space="preserve"> </w:t>
      </w:r>
      <w:r w:rsidRPr="006534B3">
        <w:rPr>
          <w:rFonts w:asciiTheme="majorBidi" w:hAnsiTheme="majorBidi" w:cstheme="majorBidi"/>
          <w:sz w:val="20"/>
          <w:szCs w:val="20"/>
          <w:rtl/>
        </w:rPr>
        <w:t>מדרש תנחומא  פרשת נח אות יז.</w:t>
      </w:r>
    </w:p>
  </w:footnote>
  <w:footnote w:id="6">
    <w:p w14:paraId="2A9F9432" w14:textId="71F7E04C" w:rsidR="0085146D" w:rsidRPr="006534B3" w:rsidRDefault="0085146D" w:rsidP="006534B3">
      <w:pPr>
        <w:spacing w:after="0" w:line="360" w:lineRule="auto"/>
        <w:rPr>
          <w:rFonts w:asciiTheme="majorBidi" w:hAnsiTheme="majorBidi" w:cstheme="majorBidi"/>
          <w:sz w:val="20"/>
          <w:szCs w:val="20"/>
        </w:rPr>
      </w:pPr>
      <w:r w:rsidRPr="006534B3">
        <w:rPr>
          <w:rStyle w:val="a9"/>
          <w:rFonts w:asciiTheme="majorBidi" w:hAnsiTheme="majorBidi" w:cstheme="majorBidi"/>
          <w:sz w:val="20"/>
          <w:szCs w:val="20"/>
        </w:rPr>
        <w:footnoteRef/>
      </w:r>
      <w:r w:rsidRPr="006534B3">
        <w:rPr>
          <w:rFonts w:asciiTheme="majorBidi" w:hAnsiTheme="majorBidi" w:cstheme="majorBidi"/>
          <w:sz w:val="20"/>
          <w:szCs w:val="20"/>
          <w:rtl/>
        </w:rPr>
        <w:t xml:space="preserve"> ציץ אליעזר</w:t>
      </w:r>
      <w:r w:rsidR="006534B3">
        <w:rPr>
          <w:rFonts w:asciiTheme="majorBidi" w:hAnsiTheme="majorBidi" w:cstheme="majorBidi" w:hint="cs"/>
          <w:sz w:val="20"/>
          <w:szCs w:val="20"/>
          <w:rtl/>
        </w:rPr>
        <w:t xml:space="preserve">. </w:t>
      </w:r>
      <w:r w:rsidRPr="006534B3">
        <w:rPr>
          <w:rFonts w:asciiTheme="majorBidi" w:hAnsiTheme="majorBidi" w:cstheme="majorBidi"/>
          <w:sz w:val="20"/>
          <w:szCs w:val="20"/>
          <w:rtl/>
        </w:rPr>
        <w:t>הנידון שלו הוא מלחמת יום כיפור ומתיר מכמה צדדים.</w:t>
      </w:r>
    </w:p>
  </w:footnote>
  <w:footnote w:id="7">
    <w:p w14:paraId="08783189" w14:textId="09EE3C7C" w:rsidR="00BD6DC0" w:rsidRPr="006534B3" w:rsidRDefault="00BD6DC0" w:rsidP="006534B3">
      <w:pPr>
        <w:pStyle w:val="a7"/>
        <w:spacing w:line="360" w:lineRule="auto"/>
        <w:rPr>
          <w:rFonts w:asciiTheme="majorBidi" w:hAnsiTheme="majorBidi" w:cstheme="majorBidi"/>
          <w:rtl/>
        </w:rPr>
      </w:pPr>
      <w:r w:rsidRPr="006534B3">
        <w:rPr>
          <w:rStyle w:val="a9"/>
          <w:rFonts w:asciiTheme="majorBidi" w:hAnsiTheme="majorBidi" w:cstheme="majorBidi"/>
        </w:rPr>
        <w:footnoteRef/>
      </w:r>
      <w:r w:rsidRPr="006534B3">
        <w:rPr>
          <w:rFonts w:asciiTheme="majorBidi" w:hAnsiTheme="majorBidi" w:cstheme="majorBidi"/>
          <w:rtl/>
        </w:rPr>
        <w:t xml:space="preserve"> שולחן ערוך   סימן רמ סעיף יב.</w:t>
      </w:r>
    </w:p>
  </w:footnote>
  <w:footnote w:id="8">
    <w:p w14:paraId="7D4B46C9" w14:textId="4CBE08F0" w:rsidR="0085146D" w:rsidRDefault="0085146D" w:rsidP="00DF77A5">
      <w:pPr>
        <w:spacing w:after="0" w:line="240" w:lineRule="auto"/>
        <w:rPr>
          <w:rFonts w:asciiTheme="majorBidi" w:hAnsiTheme="majorBidi" w:cstheme="majorBidi"/>
          <w:sz w:val="20"/>
          <w:szCs w:val="20"/>
          <w:rtl/>
        </w:rPr>
      </w:pPr>
      <w:r w:rsidRPr="004F1324">
        <w:rPr>
          <w:rStyle w:val="a9"/>
          <w:rFonts w:asciiTheme="majorBidi" w:hAnsiTheme="majorBidi" w:cstheme="majorBidi"/>
          <w:sz w:val="20"/>
          <w:szCs w:val="20"/>
        </w:rPr>
        <w:footnoteRef/>
      </w:r>
      <w:r w:rsidRPr="004F1324">
        <w:rPr>
          <w:rFonts w:asciiTheme="majorBidi" w:hAnsiTheme="majorBidi" w:cstheme="majorBidi"/>
          <w:sz w:val="20"/>
          <w:szCs w:val="20"/>
          <w:rtl/>
        </w:rPr>
        <w:t xml:space="preserve"> </w:t>
      </w:r>
      <w:r w:rsidR="00C95C9F" w:rsidRPr="00DF77A5">
        <w:rPr>
          <w:rFonts w:ascii="David" w:hAnsi="David" w:cs="David"/>
          <w:sz w:val="20"/>
          <w:szCs w:val="20"/>
          <w:rtl/>
        </w:rPr>
        <w:t>"וזאת הדעה של הכנה"ג צוינו בעוד כמה מגדולי המפרשים</w:t>
      </w:r>
      <w:r w:rsidR="007F52D3">
        <w:rPr>
          <w:rFonts w:ascii="David" w:hAnsi="David" w:cs="David" w:hint="cs"/>
          <w:sz w:val="20"/>
          <w:szCs w:val="20"/>
          <w:rtl/>
        </w:rPr>
        <w:t>,</w:t>
      </w:r>
      <w:r w:rsidR="00C95C9F" w:rsidRPr="00DF77A5">
        <w:rPr>
          <w:rFonts w:ascii="David" w:hAnsi="David" w:cs="David"/>
          <w:sz w:val="20"/>
          <w:szCs w:val="20"/>
          <w:rtl/>
        </w:rPr>
        <w:t xml:space="preserve"> וגם העולת תמיד בעצמו ציין בסוף דבריו לעיין מ"ש בזה בכנה"ג, ונראה מזה שלא קבע מסמרים בדעתו הקודמת" </w:t>
      </w:r>
      <w:r w:rsidR="004F1324" w:rsidRPr="004F1324">
        <w:rPr>
          <w:rFonts w:asciiTheme="majorBidi" w:hAnsiTheme="majorBidi" w:cstheme="majorBidi"/>
          <w:sz w:val="20"/>
          <w:szCs w:val="20"/>
          <w:rtl/>
        </w:rPr>
        <w:t>(</w:t>
      </w:r>
      <w:r w:rsidRPr="004F1324">
        <w:rPr>
          <w:rFonts w:asciiTheme="majorBidi" w:hAnsiTheme="majorBidi" w:cstheme="majorBidi"/>
          <w:sz w:val="20"/>
          <w:szCs w:val="20"/>
          <w:rtl/>
        </w:rPr>
        <w:t>ציץ אליעזר</w:t>
      </w:r>
      <w:r w:rsidR="004F1324" w:rsidRPr="004F1324">
        <w:rPr>
          <w:rFonts w:asciiTheme="majorBidi" w:hAnsiTheme="majorBidi" w:cstheme="majorBidi"/>
          <w:sz w:val="20"/>
          <w:szCs w:val="20"/>
          <w:rtl/>
        </w:rPr>
        <w:t>).</w:t>
      </w:r>
    </w:p>
    <w:p w14:paraId="43901845" w14:textId="77777777" w:rsidR="00DF77A5" w:rsidRPr="004F1324" w:rsidRDefault="00DF77A5" w:rsidP="00DF77A5">
      <w:pPr>
        <w:spacing w:after="0" w:line="240" w:lineRule="auto"/>
        <w:rPr>
          <w:rFonts w:asciiTheme="majorBidi" w:hAnsiTheme="majorBidi" w:cstheme="majorBidi"/>
          <w:sz w:val="20"/>
          <w:szCs w:val="20"/>
        </w:rPr>
      </w:pPr>
    </w:p>
  </w:footnote>
  <w:footnote w:id="9">
    <w:p w14:paraId="1142C31B" w14:textId="6D1668B1" w:rsidR="00770D72" w:rsidRDefault="00770D72" w:rsidP="004F1324">
      <w:pPr>
        <w:spacing w:after="0" w:line="240" w:lineRule="auto"/>
        <w:rPr>
          <w:rFonts w:asciiTheme="majorBidi" w:hAnsiTheme="majorBidi" w:cstheme="majorBidi"/>
          <w:sz w:val="20"/>
          <w:szCs w:val="20"/>
          <w:rtl/>
        </w:rPr>
      </w:pPr>
      <w:r w:rsidRPr="004F1324">
        <w:rPr>
          <w:rStyle w:val="a9"/>
          <w:rFonts w:asciiTheme="majorBidi" w:hAnsiTheme="majorBidi" w:cstheme="majorBidi"/>
          <w:sz w:val="20"/>
          <w:szCs w:val="20"/>
        </w:rPr>
        <w:footnoteRef/>
      </w:r>
      <w:r w:rsidRPr="004F1324">
        <w:rPr>
          <w:rFonts w:asciiTheme="majorBidi" w:hAnsiTheme="majorBidi" w:cstheme="majorBidi"/>
          <w:sz w:val="20"/>
          <w:szCs w:val="20"/>
          <w:rtl/>
        </w:rPr>
        <w:t xml:space="preserve"> על פי ר' עובדיה מברטנורא (עמר נקא) בראשית פרק מא. </w:t>
      </w:r>
      <w:r w:rsidRPr="004F1324">
        <w:rPr>
          <w:rFonts w:ascii="David" w:hAnsi="David" w:cs="David"/>
          <w:sz w:val="20"/>
          <w:szCs w:val="20"/>
          <w:rtl/>
        </w:rPr>
        <w:t>"ופרסם הכתו</w:t>
      </w:r>
      <w:r w:rsidR="004F1324">
        <w:rPr>
          <w:rFonts w:ascii="David" w:hAnsi="David" w:cs="David" w:hint="cs"/>
          <w:sz w:val="20"/>
          <w:szCs w:val="20"/>
          <w:rtl/>
        </w:rPr>
        <w:t>ב</w:t>
      </w:r>
      <w:r w:rsidRPr="004F1324">
        <w:rPr>
          <w:rFonts w:ascii="David" w:hAnsi="David" w:cs="David"/>
          <w:sz w:val="20"/>
          <w:szCs w:val="20"/>
          <w:rtl/>
        </w:rPr>
        <w:t xml:space="preserve"> מעשה יוסף כדי שנלמוד האיסור ולא פרסם מעשה לוי כדי שלא נלמוד היתר".</w:t>
      </w:r>
      <w:r w:rsidR="00F1776E" w:rsidRPr="004F1324">
        <w:rPr>
          <w:rFonts w:ascii="David" w:hAnsi="David" w:cs="David"/>
          <w:sz w:val="20"/>
          <w:szCs w:val="20"/>
          <w:rtl/>
        </w:rPr>
        <w:t xml:space="preserve"> "אבל השתא איסור גמור היא".</w:t>
      </w:r>
      <w:r w:rsidR="00F1776E" w:rsidRPr="004F1324">
        <w:rPr>
          <w:rFonts w:asciiTheme="majorBidi" w:hAnsiTheme="majorBidi" w:cstheme="majorBidi"/>
          <w:sz w:val="20"/>
          <w:szCs w:val="20"/>
          <w:rtl/>
        </w:rPr>
        <w:t xml:space="preserve"> (שפת אמת ). </w:t>
      </w:r>
    </w:p>
    <w:p w14:paraId="0FBB3E66" w14:textId="77777777" w:rsidR="004F1324" w:rsidRPr="004F1324" w:rsidRDefault="004F1324" w:rsidP="004F1324">
      <w:pPr>
        <w:spacing w:after="0" w:line="240" w:lineRule="auto"/>
        <w:rPr>
          <w:rFonts w:asciiTheme="majorBidi" w:hAnsiTheme="majorBidi" w:cstheme="majorBidi"/>
          <w:sz w:val="20"/>
          <w:szCs w:val="20"/>
        </w:rPr>
      </w:pPr>
    </w:p>
  </w:footnote>
  <w:footnote w:id="10">
    <w:p w14:paraId="08062D59" w14:textId="3360562B" w:rsidR="00D32D64" w:rsidRPr="004F1324" w:rsidRDefault="00D32D64" w:rsidP="004F1324">
      <w:pPr>
        <w:spacing w:after="0" w:line="360" w:lineRule="auto"/>
        <w:rPr>
          <w:rFonts w:asciiTheme="majorBidi" w:hAnsiTheme="majorBidi" w:cstheme="majorBidi"/>
          <w:sz w:val="20"/>
          <w:szCs w:val="20"/>
          <w:rtl/>
        </w:rPr>
      </w:pPr>
      <w:r w:rsidRPr="004F1324">
        <w:rPr>
          <w:rStyle w:val="a9"/>
          <w:rFonts w:asciiTheme="majorBidi" w:hAnsiTheme="majorBidi" w:cstheme="majorBidi"/>
          <w:sz w:val="20"/>
          <w:szCs w:val="20"/>
        </w:rPr>
        <w:footnoteRef/>
      </w:r>
      <w:r w:rsidRPr="004F1324">
        <w:rPr>
          <w:rFonts w:asciiTheme="majorBidi" w:hAnsiTheme="majorBidi" w:cstheme="majorBidi"/>
          <w:sz w:val="20"/>
          <w:szCs w:val="20"/>
          <w:rtl/>
        </w:rPr>
        <w:t xml:space="preserve"> קרבן נתנאל  פרק א סימן ח אות נ.</w:t>
      </w:r>
      <w:r w:rsidR="00770D72" w:rsidRPr="004F1324">
        <w:rPr>
          <w:rFonts w:asciiTheme="majorBidi" w:hAnsiTheme="majorBidi" w:cstheme="majorBidi"/>
          <w:sz w:val="20"/>
          <w:szCs w:val="20"/>
          <w:rtl/>
        </w:rPr>
        <w:t xml:space="preserve"> וכן כתב ב"ח אורח חיים סימן תקעד אות ד.</w:t>
      </w:r>
    </w:p>
  </w:footnote>
  <w:footnote w:id="11">
    <w:p w14:paraId="47752BE0" w14:textId="49568FCE" w:rsidR="00FB2DB7" w:rsidRPr="004F1324" w:rsidRDefault="00FB2DB7" w:rsidP="004F1324">
      <w:pPr>
        <w:pStyle w:val="a7"/>
        <w:spacing w:line="360" w:lineRule="auto"/>
        <w:rPr>
          <w:rFonts w:asciiTheme="majorBidi" w:hAnsiTheme="majorBidi" w:cstheme="majorBidi"/>
          <w:rtl/>
        </w:rPr>
      </w:pPr>
      <w:r w:rsidRPr="004F1324">
        <w:rPr>
          <w:rStyle w:val="a9"/>
          <w:rFonts w:asciiTheme="majorBidi" w:hAnsiTheme="majorBidi" w:cstheme="majorBidi"/>
        </w:rPr>
        <w:footnoteRef/>
      </w:r>
      <w:r w:rsidRPr="004F1324">
        <w:rPr>
          <w:rFonts w:asciiTheme="majorBidi" w:hAnsiTheme="majorBidi" w:cstheme="majorBidi"/>
          <w:rtl/>
        </w:rPr>
        <w:t xml:space="preserve"> גבורת ארי למהר"ל.</w:t>
      </w:r>
    </w:p>
  </w:footnote>
  <w:footnote w:id="12">
    <w:p w14:paraId="397C6010" w14:textId="439603A3" w:rsidR="00770D72" w:rsidRPr="004F1324" w:rsidRDefault="00770D72" w:rsidP="004F1324">
      <w:pPr>
        <w:spacing w:after="0" w:line="360" w:lineRule="auto"/>
        <w:rPr>
          <w:rFonts w:asciiTheme="majorBidi" w:hAnsiTheme="majorBidi" w:cstheme="majorBidi"/>
          <w:sz w:val="20"/>
          <w:szCs w:val="20"/>
        </w:rPr>
      </w:pPr>
      <w:r w:rsidRPr="004F1324">
        <w:rPr>
          <w:rStyle w:val="a9"/>
          <w:rFonts w:asciiTheme="majorBidi" w:hAnsiTheme="majorBidi" w:cstheme="majorBidi"/>
          <w:sz w:val="20"/>
          <w:szCs w:val="20"/>
        </w:rPr>
        <w:footnoteRef/>
      </w:r>
      <w:r w:rsidRPr="004F1324">
        <w:rPr>
          <w:rFonts w:asciiTheme="majorBidi" w:hAnsiTheme="majorBidi" w:cstheme="majorBidi"/>
          <w:sz w:val="20"/>
          <w:szCs w:val="20"/>
          <w:rtl/>
        </w:rPr>
        <w:t xml:space="preserve"> מזרחי (רא"ם) בראשית פרק מא פסוק נ.</w:t>
      </w:r>
    </w:p>
  </w:footnote>
  <w:footnote w:id="13">
    <w:p w14:paraId="187140EB" w14:textId="1D557858" w:rsidR="00770D72" w:rsidRPr="004F1324" w:rsidRDefault="00770D72" w:rsidP="004F1324">
      <w:pPr>
        <w:spacing w:after="0" w:line="360" w:lineRule="auto"/>
        <w:rPr>
          <w:rFonts w:asciiTheme="majorBidi" w:hAnsiTheme="majorBidi" w:cstheme="majorBidi"/>
          <w:sz w:val="20"/>
          <w:szCs w:val="20"/>
        </w:rPr>
      </w:pPr>
      <w:r w:rsidRPr="004F1324">
        <w:rPr>
          <w:rStyle w:val="a9"/>
          <w:rFonts w:asciiTheme="majorBidi" w:hAnsiTheme="majorBidi" w:cstheme="majorBidi"/>
          <w:sz w:val="20"/>
          <w:szCs w:val="20"/>
        </w:rPr>
        <w:footnoteRef/>
      </w:r>
      <w:r w:rsidRPr="004F1324">
        <w:rPr>
          <w:rFonts w:asciiTheme="majorBidi" w:hAnsiTheme="majorBidi" w:cstheme="majorBidi"/>
          <w:sz w:val="20"/>
          <w:szCs w:val="20"/>
          <w:rtl/>
        </w:rPr>
        <w:t xml:space="preserve"> בית יוסף אורח חיים סימן תקעד אות ד. </w:t>
      </w:r>
    </w:p>
  </w:footnote>
  <w:footnote w:id="14">
    <w:p w14:paraId="1C6DB5C0" w14:textId="72F67EAA" w:rsidR="00D32D64" w:rsidRPr="004F1324" w:rsidRDefault="00D32D64" w:rsidP="004F1324">
      <w:pPr>
        <w:pStyle w:val="a7"/>
        <w:spacing w:line="360" w:lineRule="auto"/>
        <w:rPr>
          <w:rFonts w:asciiTheme="majorBidi" w:hAnsiTheme="majorBidi" w:cstheme="majorBidi"/>
        </w:rPr>
      </w:pPr>
      <w:r w:rsidRPr="004F1324">
        <w:rPr>
          <w:rStyle w:val="a9"/>
          <w:rFonts w:asciiTheme="majorBidi" w:hAnsiTheme="majorBidi" w:cstheme="majorBidi"/>
        </w:rPr>
        <w:footnoteRef/>
      </w:r>
      <w:r w:rsidRPr="004F1324">
        <w:rPr>
          <w:rFonts w:asciiTheme="majorBidi" w:hAnsiTheme="majorBidi" w:cstheme="majorBidi"/>
          <w:rtl/>
        </w:rPr>
        <w:t xml:space="preserve"> מאירי. וכן בתוספות רא"ש: </w:t>
      </w:r>
      <w:r w:rsidRPr="004F1324">
        <w:rPr>
          <w:rFonts w:ascii="David" w:hAnsi="David" w:cs="David"/>
          <w:rtl/>
        </w:rPr>
        <w:t>"דבמקום שהיו דרים יעקב ובניו לא היה רעב"</w:t>
      </w:r>
      <w:r w:rsidR="004F1324" w:rsidRPr="004F1324">
        <w:rPr>
          <w:rFonts w:ascii="David" w:hAnsi="David" w:cs="David"/>
          <w:rtl/>
        </w:rPr>
        <w:t>.</w:t>
      </w:r>
    </w:p>
  </w:footnote>
  <w:footnote w:id="15">
    <w:p w14:paraId="7C4340EF" w14:textId="545F1AD7" w:rsidR="00D32D64" w:rsidRPr="004F1324" w:rsidRDefault="00D32D64" w:rsidP="004F1324">
      <w:pPr>
        <w:pStyle w:val="a7"/>
        <w:spacing w:line="360" w:lineRule="auto"/>
        <w:rPr>
          <w:rFonts w:asciiTheme="majorBidi" w:hAnsiTheme="majorBidi" w:cstheme="majorBidi"/>
        </w:rPr>
      </w:pPr>
      <w:r w:rsidRPr="004F1324">
        <w:rPr>
          <w:rStyle w:val="a9"/>
          <w:rFonts w:asciiTheme="majorBidi" w:hAnsiTheme="majorBidi" w:cstheme="majorBidi"/>
        </w:rPr>
        <w:footnoteRef/>
      </w:r>
      <w:r w:rsidRPr="004F1324">
        <w:rPr>
          <w:rFonts w:asciiTheme="majorBidi" w:hAnsiTheme="majorBidi" w:cstheme="majorBidi"/>
          <w:rtl/>
        </w:rPr>
        <w:t xml:space="preserve"> ריטב"א.</w:t>
      </w:r>
    </w:p>
  </w:footnote>
  <w:footnote w:id="16">
    <w:p w14:paraId="7209A8A6" w14:textId="53C86286" w:rsidR="00D32D64" w:rsidRPr="004F1324" w:rsidRDefault="00D32D64" w:rsidP="004F1324">
      <w:pPr>
        <w:pStyle w:val="a7"/>
        <w:spacing w:line="360" w:lineRule="auto"/>
        <w:rPr>
          <w:rFonts w:asciiTheme="majorBidi" w:hAnsiTheme="majorBidi" w:cstheme="majorBidi"/>
        </w:rPr>
      </w:pPr>
      <w:r w:rsidRPr="004F1324">
        <w:rPr>
          <w:rStyle w:val="a9"/>
          <w:rFonts w:asciiTheme="majorBidi" w:hAnsiTheme="majorBidi" w:cstheme="majorBidi"/>
        </w:rPr>
        <w:footnoteRef/>
      </w:r>
      <w:r w:rsidRPr="004F1324">
        <w:rPr>
          <w:rFonts w:asciiTheme="majorBidi" w:hAnsiTheme="majorBidi" w:cstheme="majorBidi"/>
          <w:rtl/>
        </w:rPr>
        <w:t xml:space="preserve"> מור וקציעה סימן תקעד.</w:t>
      </w:r>
    </w:p>
  </w:footnote>
  <w:footnote w:id="17">
    <w:p w14:paraId="2B716723" w14:textId="6D70FFF3" w:rsidR="00FB2DB7" w:rsidRPr="004F1324" w:rsidRDefault="00FB2DB7" w:rsidP="00DF77A5">
      <w:pPr>
        <w:spacing w:after="0" w:line="240" w:lineRule="auto"/>
        <w:rPr>
          <w:rFonts w:asciiTheme="majorBidi" w:hAnsiTheme="majorBidi" w:cstheme="majorBidi"/>
          <w:sz w:val="20"/>
          <w:szCs w:val="20"/>
          <w:rtl/>
        </w:rPr>
      </w:pPr>
      <w:r w:rsidRPr="004F1324">
        <w:rPr>
          <w:rStyle w:val="a9"/>
          <w:sz w:val="20"/>
          <w:szCs w:val="20"/>
        </w:rPr>
        <w:footnoteRef/>
      </w:r>
      <w:r w:rsidRPr="004F1324">
        <w:rPr>
          <w:sz w:val="20"/>
          <w:szCs w:val="20"/>
          <w:rtl/>
        </w:rPr>
        <w:t xml:space="preserve"> </w:t>
      </w:r>
      <w:r w:rsidRPr="004F1324">
        <w:rPr>
          <w:rFonts w:asciiTheme="majorBidi" w:hAnsiTheme="majorBidi" w:cstheme="majorBidi"/>
          <w:sz w:val="20"/>
          <w:szCs w:val="20"/>
          <w:rtl/>
        </w:rPr>
        <w:t>תורה תמימה הערות בראשית פרק מא הערה ח</w:t>
      </w:r>
      <w:r w:rsidRPr="004F1324">
        <w:rPr>
          <w:rFonts w:asciiTheme="majorBidi" w:hAnsiTheme="majorBidi" w:cstheme="majorBidi" w:hint="cs"/>
          <w:sz w:val="20"/>
          <w:szCs w:val="20"/>
          <w:rtl/>
        </w:rPr>
        <w:t>.</w:t>
      </w:r>
      <w:r w:rsidR="0044011E" w:rsidRPr="004F1324">
        <w:rPr>
          <w:rFonts w:asciiTheme="majorBidi" w:hAnsiTheme="majorBidi" w:cstheme="majorBidi" w:hint="cs"/>
          <w:sz w:val="20"/>
          <w:szCs w:val="20"/>
          <w:rtl/>
        </w:rPr>
        <w:t xml:space="preserve"> יתכן ששורש לדבריו בלשון המאירי: "</w:t>
      </w:r>
      <w:r w:rsidR="0044011E" w:rsidRPr="004F1324">
        <w:rPr>
          <w:rFonts w:ascii="David" w:hAnsi="David" w:cs="David"/>
          <w:sz w:val="20"/>
          <w:szCs w:val="20"/>
          <w:rtl/>
        </w:rPr>
        <w:t xml:space="preserve">הכונה שלא ישכח הרעב </w:t>
      </w:r>
      <w:r w:rsidR="0044011E" w:rsidRPr="004F1324">
        <w:rPr>
          <w:rFonts w:ascii="David" w:hAnsi="David" w:cs="David"/>
          <w:b/>
          <w:bCs/>
          <w:sz w:val="20"/>
          <w:szCs w:val="20"/>
          <w:rtl/>
        </w:rPr>
        <w:t>שבבית חבריו</w:t>
      </w:r>
      <w:r w:rsidR="0044011E" w:rsidRPr="004F1324">
        <w:rPr>
          <w:rFonts w:ascii="David" w:hAnsi="David" w:cs="David"/>
          <w:sz w:val="20"/>
          <w:szCs w:val="20"/>
          <w:rtl/>
        </w:rPr>
        <w:t xml:space="preserve"> ויגרום לו זה להקשות ערפו ושלא להיות דואג בדאגת חבריו וכן לא יהא נוהג עדונין בעצמו ולא ישמש מטתו בשני רעבון</w:t>
      </w:r>
      <w:r w:rsidR="0044011E" w:rsidRPr="004F1324">
        <w:rPr>
          <w:rFonts w:asciiTheme="majorBidi" w:hAnsiTheme="majorBidi" w:cstheme="majorBidi" w:hint="cs"/>
          <w:sz w:val="20"/>
          <w:szCs w:val="20"/>
          <w:rtl/>
        </w:rPr>
        <w:t>".</w:t>
      </w:r>
    </w:p>
    <w:p w14:paraId="388E70BF" w14:textId="77777777" w:rsidR="00FB2DB7" w:rsidRPr="004F1324" w:rsidRDefault="00FB2DB7" w:rsidP="00FB2DB7">
      <w:pPr>
        <w:pStyle w:val="a7"/>
      </w:pPr>
    </w:p>
  </w:footnote>
  <w:footnote w:id="18">
    <w:p w14:paraId="77D3E3A3" w14:textId="055A475B" w:rsidR="00B917EB" w:rsidRPr="00DF77A5" w:rsidRDefault="00B917EB">
      <w:pPr>
        <w:pStyle w:val="a7"/>
        <w:rPr>
          <w:rFonts w:asciiTheme="majorBidi" w:hAnsiTheme="majorBidi" w:cstheme="majorBidi"/>
          <w:rtl/>
        </w:rPr>
      </w:pPr>
      <w:r w:rsidRPr="004F1324">
        <w:rPr>
          <w:rStyle w:val="a9"/>
        </w:rPr>
        <w:footnoteRef/>
      </w:r>
      <w:r w:rsidRPr="004F1324">
        <w:rPr>
          <w:rtl/>
        </w:rPr>
        <w:t xml:space="preserve"> </w:t>
      </w:r>
      <w:r w:rsidRPr="004F1324">
        <w:rPr>
          <w:rFonts w:asciiTheme="majorBidi" w:hAnsiTheme="majorBidi" w:cstheme="majorBidi"/>
          <w:rtl/>
        </w:rPr>
        <w:t>מהרש"א הביא הצעה הפוכה. אין להתחשב ביוסף:</w:t>
      </w:r>
      <w:r w:rsidRPr="004F1324">
        <w:rPr>
          <w:rFonts w:ascii="David" w:hAnsi="David" w:cs="David" w:hint="cs"/>
          <w:rtl/>
        </w:rPr>
        <w:t xml:space="preserve"> "</w:t>
      </w:r>
      <w:r w:rsidRPr="004F1324">
        <w:rPr>
          <w:rFonts w:ascii="David" w:hAnsi="David" w:cs="David"/>
          <w:rtl/>
        </w:rPr>
        <w:t>בפענח רזי תירץ בשם הרא"ם דבשביל יוסף שהיה יחיד לא אסרו עצמם מלשמש וכה"ג כתב החזקוני ע"ש</w:t>
      </w:r>
      <w:r w:rsidRPr="004F1324">
        <w:rPr>
          <w:rFonts w:ascii="David" w:hAnsi="David" w:cs="David" w:hint="cs"/>
          <w:rtl/>
        </w:rPr>
        <w:t>"</w:t>
      </w:r>
      <w:r w:rsidRPr="004F1324">
        <w:rPr>
          <w:rFonts w:ascii="David" w:hAnsi="David" w:cs="David"/>
          <w:rtl/>
        </w:rPr>
        <w:t>.</w:t>
      </w:r>
      <w:r w:rsidR="00DF77A5">
        <w:rPr>
          <w:rFonts w:hint="cs"/>
          <w:rtl/>
        </w:rPr>
        <w:t xml:space="preserve"> </w:t>
      </w:r>
      <w:r w:rsidR="00DF77A5">
        <w:rPr>
          <w:rFonts w:asciiTheme="majorBidi" w:hAnsiTheme="majorBidi" w:cstheme="majorBidi" w:hint="cs"/>
          <w:rtl/>
        </w:rPr>
        <w:t>בדעת זקנים על התורה מציעים שיוסף נאסר כי ידע שהרעב מוגבל בזמן.</w:t>
      </w:r>
    </w:p>
    <w:p w14:paraId="40B784BE" w14:textId="77777777" w:rsidR="00F1776E" w:rsidRPr="004F1324" w:rsidRDefault="00F1776E">
      <w:pPr>
        <w:pStyle w:val="a7"/>
      </w:pPr>
    </w:p>
  </w:footnote>
  <w:footnote w:id="19">
    <w:p w14:paraId="7BB949B1" w14:textId="213F4456" w:rsidR="00D32D64" w:rsidRPr="004F1324" w:rsidRDefault="00D32D64" w:rsidP="004F1324">
      <w:pPr>
        <w:spacing w:after="0" w:line="360" w:lineRule="auto"/>
        <w:rPr>
          <w:rFonts w:asciiTheme="majorBidi" w:hAnsiTheme="majorBidi" w:cstheme="majorBidi"/>
          <w:sz w:val="20"/>
          <w:szCs w:val="20"/>
        </w:rPr>
      </w:pPr>
      <w:r w:rsidRPr="004F1324">
        <w:rPr>
          <w:rStyle w:val="a9"/>
          <w:sz w:val="20"/>
          <w:szCs w:val="20"/>
        </w:rPr>
        <w:footnoteRef/>
      </w:r>
      <w:r w:rsidRPr="004F1324">
        <w:rPr>
          <w:sz w:val="20"/>
          <w:szCs w:val="20"/>
          <w:rtl/>
        </w:rPr>
        <w:t xml:space="preserve"> </w:t>
      </w:r>
      <w:r w:rsidRPr="004F1324">
        <w:rPr>
          <w:rFonts w:asciiTheme="majorBidi" w:hAnsiTheme="majorBidi" w:cstheme="majorBidi"/>
          <w:sz w:val="20"/>
          <w:szCs w:val="20"/>
          <w:rtl/>
        </w:rPr>
        <w:t>ר"ן</w:t>
      </w:r>
      <w:r w:rsidRPr="004F1324">
        <w:rPr>
          <w:rFonts w:asciiTheme="majorBidi" w:hAnsiTheme="majorBidi" w:cstheme="majorBidi" w:hint="cs"/>
          <w:sz w:val="20"/>
          <w:szCs w:val="20"/>
          <w:rtl/>
        </w:rPr>
        <w:t xml:space="preserve"> על הרי"ף דף ב עמוד ב.</w:t>
      </w:r>
    </w:p>
  </w:footnote>
  <w:footnote w:id="20">
    <w:p w14:paraId="3456486C" w14:textId="527AE3A2" w:rsidR="00D32D64" w:rsidRPr="004F1324" w:rsidRDefault="00D32D64" w:rsidP="00F1776E">
      <w:pPr>
        <w:spacing w:after="0" w:line="240" w:lineRule="auto"/>
        <w:rPr>
          <w:rFonts w:asciiTheme="majorBidi" w:hAnsiTheme="majorBidi" w:cstheme="majorBidi"/>
          <w:sz w:val="20"/>
          <w:szCs w:val="20"/>
          <w:rtl/>
        </w:rPr>
      </w:pPr>
      <w:r w:rsidRPr="004F1324">
        <w:rPr>
          <w:rStyle w:val="a9"/>
          <w:sz w:val="20"/>
          <w:szCs w:val="20"/>
        </w:rPr>
        <w:footnoteRef/>
      </w:r>
      <w:r w:rsidRPr="004F1324">
        <w:rPr>
          <w:sz w:val="20"/>
          <w:szCs w:val="20"/>
          <w:rtl/>
        </w:rPr>
        <w:t xml:space="preserve"> </w:t>
      </w:r>
      <w:r w:rsidRPr="004F1324">
        <w:rPr>
          <w:rFonts w:asciiTheme="majorBidi" w:hAnsiTheme="majorBidi" w:cstheme="majorBidi"/>
          <w:sz w:val="20"/>
          <w:szCs w:val="20"/>
          <w:rtl/>
        </w:rPr>
        <w:t>בית יוסף אורח חיים סימן תקעד</w:t>
      </w:r>
      <w:r w:rsidRPr="004F1324">
        <w:rPr>
          <w:rFonts w:asciiTheme="majorBidi" w:hAnsiTheme="majorBidi" w:cstheme="majorBidi" w:hint="cs"/>
          <w:sz w:val="20"/>
          <w:szCs w:val="20"/>
          <w:rtl/>
        </w:rPr>
        <w:t xml:space="preserve"> סעיף ד.</w:t>
      </w:r>
      <w:r w:rsidR="00770D72" w:rsidRPr="004F1324">
        <w:rPr>
          <w:rFonts w:asciiTheme="majorBidi" w:hAnsiTheme="majorBidi" w:cstheme="majorBidi" w:hint="cs"/>
          <w:sz w:val="20"/>
          <w:szCs w:val="20"/>
          <w:rtl/>
        </w:rPr>
        <w:t xml:space="preserve"> כתב </w:t>
      </w:r>
      <w:r w:rsidR="00F1776E" w:rsidRPr="004F1324">
        <w:rPr>
          <w:rFonts w:asciiTheme="majorBidi" w:hAnsiTheme="majorBidi" w:cstheme="majorBidi" w:hint="cs"/>
          <w:sz w:val="20"/>
          <w:szCs w:val="20"/>
          <w:rtl/>
        </w:rPr>
        <w:t>"</w:t>
      </w:r>
      <w:r w:rsidR="00770D72" w:rsidRPr="004F1324">
        <w:rPr>
          <w:rFonts w:ascii="David" w:hAnsi="David" w:cs="David"/>
          <w:sz w:val="20"/>
          <w:szCs w:val="20"/>
          <w:rtl/>
        </w:rPr>
        <w:t xml:space="preserve">בשו"ת שבות יעקב </w:t>
      </w:r>
      <w:r w:rsidR="00770D72" w:rsidRPr="004F1324">
        <w:rPr>
          <w:rFonts w:ascii="David" w:hAnsi="David" w:cs="David"/>
          <w:sz w:val="16"/>
          <w:szCs w:val="16"/>
          <w:rtl/>
        </w:rPr>
        <w:t>(ח"ג סי' ל')</w:t>
      </w:r>
      <w:r w:rsidR="00770D72" w:rsidRPr="004F1324">
        <w:rPr>
          <w:rFonts w:asciiTheme="majorBidi" w:hAnsiTheme="majorBidi" w:cstheme="majorBidi" w:hint="cs"/>
          <w:sz w:val="20"/>
          <w:szCs w:val="20"/>
          <w:rtl/>
        </w:rPr>
        <w:t xml:space="preserve"> </w:t>
      </w:r>
      <w:r w:rsidR="00770D72" w:rsidRPr="004F1324">
        <w:rPr>
          <w:rFonts w:ascii="David" w:hAnsi="David" w:cs="David"/>
          <w:sz w:val="20"/>
          <w:szCs w:val="20"/>
          <w:rtl/>
        </w:rPr>
        <w:t xml:space="preserve">דוודאי היתה ליוסף בת, כדאיתא במדרש </w:t>
      </w:r>
      <w:r w:rsidR="00770D72" w:rsidRPr="004F1324">
        <w:rPr>
          <w:rFonts w:ascii="David" w:hAnsi="David" w:cs="David"/>
          <w:sz w:val="16"/>
          <w:szCs w:val="16"/>
          <w:rtl/>
        </w:rPr>
        <w:t>פרשת ויגש (פרשה צ"ג),</w:t>
      </w:r>
      <w:r w:rsidR="00770D72" w:rsidRPr="004F1324">
        <w:rPr>
          <w:rFonts w:ascii="David" w:hAnsi="David" w:cs="David"/>
          <w:sz w:val="20"/>
          <w:szCs w:val="20"/>
          <w:rtl/>
        </w:rPr>
        <w:t xml:space="preserve"> על פסוק אדני שאל את עבדיו, מתחילה בעלילה באת וכו', וכי בתך היינו מבקשים, והא דלא קחשיב לה עם בני יוסף בירידתן למצרים, יש לומר שמתה קודם</w:t>
      </w:r>
      <w:r w:rsidR="00F1776E" w:rsidRPr="004F1324">
        <w:rPr>
          <w:rFonts w:asciiTheme="majorBidi" w:hAnsiTheme="majorBidi" w:cstheme="majorBidi" w:hint="cs"/>
          <w:sz w:val="20"/>
          <w:szCs w:val="20"/>
          <w:rtl/>
        </w:rPr>
        <w:t>". וצריך לומר ש</w:t>
      </w:r>
      <w:r w:rsidR="00F1776E" w:rsidRPr="004F1324">
        <w:rPr>
          <w:rFonts w:ascii="David" w:hAnsi="David" w:cs="David"/>
          <w:sz w:val="20"/>
          <w:szCs w:val="20"/>
          <w:rtl/>
        </w:rPr>
        <w:t xml:space="preserve"> </w:t>
      </w:r>
      <w:r w:rsidR="00F1776E" w:rsidRPr="004F1324">
        <w:rPr>
          <w:rFonts w:ascii="David" w:hAnsi="David" w:cs="David" w:hint="cs"/>
          <w:sz w:val="20"/>
          <w:szCs w:val="20"/>
          <w:rtl/>
        </w:rPr>
        <w:t>"</w:t>
      </w:r>
      <w:r w:rsidR="00F1776E" w:rsidRPr="004F1324">
        <w:rPr>
          <w:rFonts w:ascii="David" w:hAnsi="David" w:cs="David"/>
          <w:sz w:val="20"/>
          <w:szCs w:val="20"/>
          <w:rtl/>
        </w:rPr>
        <w:t>מתה קודם שבא יעקב למצרים. אבל בשני שנות הרעב לפני שבא יעקב למצרים, היתה קיימת</w:t>
      </w:r>
      <w:r w:rsidR="00F1776E" w:rsidRPr="004F1324">
        <w:rPr>
          <w:rFonts w:asciiTheme="majorBidi" w:hAnsiTheme="majorBidi" w:cstheme="majorBidi" w:hint="cs"/>
          <w:sz w:val="20"/>
          <w:szCs w:val="20"/>
          <w:rtl/>
        </w:rPr>
        <w:t>.. ודוחק" (דף על הדף).</w:t>
      </w:r>
    </w:p>
    <w:p w14:paraId="0A866046" w14:textId="6D2519FE" w:rsidR="00D32D64" w:rsidRPr="004F1324" w:rsidRDefault="00D32D64">
      <w:pPr>
        <w:pStyle w:val="a7"/>
      </w:pPr>
    </w:p>
  </w:footnote>
  <w:footnote w:id="21">
    <w:p w14:paraId="5FE8399B" w14:textId="07A6F038" w:rsidR="00D968DA" w:rsidRPr="004F1324" w:rsidRDefault="00D968DA" w:rsidP="004F1324">
      <w:pPr>
        <w:spacing w:after="0" w:line="240" w:lineRule="auto"/>
        <w:rPr>
          <w:rFonts w:asciiTheme="majorBidi" w:hAnsiTheme="majorBidi" w:cstheme="majorBidi"/>
          <w:sz w:val="20"/>
          <w:szCs w:val="20"/>
          <w:rtl/>
        </w:rPr>
      </w:pPr>
      <w:r w:rsidRPr="004F1324">
        <w:rPr>
          <w:rStyle w:val="a9"/>
          <w:sz w:val="20"/>
          <w:szCs w:val="20"/>
        </w:rPr>
        <w:footnoteRef/>
      </w:r>
      <w:r w:rsidRPr="004F1324">
        <w:rPr>
          <w:sz w:val="20"/>
          <w:szCs w:val="20"/>
          <w:rtl/>
        </w:rPr>
        <w:t xml:space="preserve"> </w:t>
      </w:r>
      <w:r w:rsidRPr="004F1324">
        <w:rPr>
          <w:rFonts w:asciiTheme="majorBidi" w:hAnsiTheme="majorBidi" w:cstheme="majorBidi"/>
          <w:sz w:val="20"/>
          <w:szCs w:val="20"/>
          <w:rtl/>
        </w:rPr>
        <w:t>אכן</w:t>
      </w:r>
      <w:r w:rsidRPr="004F1324">
        <w:rPr>
          <w:rFonts w:ascii="David" w:hAnsi="David" w:cs="David" w:hint="cs"/>
          <w:sz w:val="20"/>
          <w:szCs w:val="20"/>
          <w:rtl/>
        </w:rPr>
        <w:t xml:space="preserve"> </w:t>
      </w:r>
      <w:r w:rsidR="007F52D3">
        <w:rPr>
          <w:rFonts w:ascii="David" w:hAnsi="David" w:cs="David" w:hint="cs"/>
          <w:sz w:val="20"/>
          <w:szCs w:val="20"/>
          <w:rtl/>
        </w:rPr>
        <w:t>"</w:t>
      </w:r>
      <w:r w:rsidRPr="004F1324">
        <w:rPr>
          <w:rFonts w:ascii="David" w:hAnsi="David" w:cs="David"/>
          <w:sz w:val="20"/>
          <w:szCs w:val="20"/>
          <w:rtl/>
        </w:rPr>
        <w:t xml:space="preserve">בספר פרדס יוסף </w:t>
      </w:r>
      <w:r w:rsidRPr="004F1324">
        <w:rPr>
          <w:rFonts w:ascii="David" w:hAnsi="David" w:cs="David"/>
          <w:sz w:val="16"/>
          <w:szCs w:val="16"/>
          <w:rtl/>
        </w:rPr>
        <w:t>[פרשת תולדות]</w:t>
      </w:r>
      <w:r w:rsidRPr="004F1324">
        <w:rPr>
          <w:rFonts w:ascii="David" w:hAnsi="David" w:cs="David"/>
          <w:sz w:val="20"/>
          <w:szCs w:val="20"/>
          <w:rtl/>
        </w:rPr>
        <w:t xml:space="preserve"> כתב לתרץ בשם בנו על פי דברי הרדב"ז </w:t>
      </w:r>
      <w:r w:rsidRPr="004F1324">
        <w:rPr>
          <w:rFonts w:ascii="David" w:hAnsi="David" w:cs="David"/>
          <w:sz w:val="16"/>
          <w:szCs w:val="16"/>
          <w:rtl/>
        </w:rPr>
        <w:t>[חלק ב' סימן תרצ"ב],</w:t>
      </w:r>
      <w:r w:rsidRPr="004F1324">
        <w:rPr>
          <w:rFonts w:ascii="David" w:hAnsi="David" w:cs="David"/>
          <w:sz w:val="20"/>
          <w:szCs w:val="20"/>
          <w:rtl/>
        </w:rPr>
        <w:t xml:space="preserve"> שאבותינו לא חששו על איסורי דרבנן. וכן כתב הרשב"א בתשובותיו [</w:t>
      </w:r>
      <w:r w:rsidRPr="004F1324">
        <w:rPr>
          <w:rFonts w:ascii="David" w:hAnsi="David" w:cs="David"/>
          <w:sz w:val="16"/>
          <w:szCs w:val="16"/>
          <w:rtl/>
        </w:rPr>
        <w:t>סימן צ"ד].</w:t>
      </w:r>
      <w:r w:rsidRPr="004F1324">
        <w:rPr>
          <w:rFonts w:ascii="David" w:hAnsi="David" w:cs="David"/>
          <w:sz w:val="20"/>
          <w:szCs w:val="20"/>
          <w:rtl/>
        </w:rPr>
        <w:t xml:space="preserve"> והבית יוסף כותב, שדין זה שאסור לשמש בשני רעבון הוא רק מדרבנן</w:t>
      </w:r>
      <w:r w:rsidR="007F52D3">
        <w:rPr>
          <w:rFonts w:ascii="David" w:hAnsi="David" w:cs="David" w:hint="cs"/>
          <w:sz w:val="20"/>
          <w:szCs w:val="20"/>
          <w:rtl/>
        </w:rPr>
        <w:t>"</w:t>
      </w:r>
      <w:r w:rsidRPr="004F1324">
        <w:rPr>
          <w:rFonts w:ascii="David" w:hAnsi="David" w:cs="David" w:hint="cs"/>
          <w:sz w:val="20"/>
          <w:szCs w:val="20"/>
          <w:rtl/>
        </w:rPr>
        <w:t xml:space="preserve"> (</w:t>
      </w:r>
      <w:r w:rsidRPr="004F1324">
        <w:rPr>
          <w:rFonts w:asciiTheme="majorBidi" w:hAnsiTheme="majorBidi" w:cstheme="majorBidi"/>
          <w:sz w:val="20"/>
          <w:szCs w:val="20"/>
          <w:rtl/>
        </w:rPr>
        <w:t xml:space="preserve">חברותא </w:t>
      </w:r>
      <w:r w:rsidRPr="004F1324">
        <w:rPr>
          <w:rFonts w:asciiTheme="majorBidi" w:hAnsiTheme="majorBidi" w:cstheme="majorBidi" w:hint="cs"/>
          <w:sz w:val="20"/>
          <w:szCs w:val="20"/>
          <w:rtl/>
        </w:rPr>
        <w:t xml:space="preserve"> </w:t>
      </w:r>
      <w:r w:rsidRPr="004F1324">
        <w:rPr>
          <w:rFonts w:asciiTheme="majorBidi" w:hAnsiTheme="majorBidi" w:cstheme="majorBidi"/>
          <w:sz w:val="20"/>
          <w:szCs w:val="20"/>
          <w:rtl/>
        </w:rPr>
        <w:t xml:space="preserve"> </w:t>
      </w:r>
      <w:r w:rsidRPr="004F1324">
        <w:rPr>
          <w:rFonts w:asciiTheme="majorBidi" w:hAnsiTheme="majorBidi" w:cstheme="majorBidi" w:hint="cs"/>
          <w:sz w:val="20"/>
          <w:szCs w:val="20"/>
          <w:rtl/>
        </w:rPr>
        <w:t xml:space="preserve"> </w:t>
      </w:r>
      <w:r w:rsidRPr="004F1324">
        <w:rPr>
          <w:rFonts w:asciiTheme="majorBidi" w:hAnsiTheme="majorBidi" w:cstheme="majorBidi"/>
          <w:sz w:val="20"/>
          <w:szCs w:val="20"/>
          <w:rtl/>
        </w:rPr>
        <w:t xml:space="preserve"> הערה </w:t>
      </w:r>
      <w:r w:rsidRPr="004F1324">
        <w:rPr>
          <w:rFonts w:asciiTheme="majorBidi" w:hAnsiTheme="majorBidi" w:cstheme="majorBidi" w:hint="cs"/>
          <w:sz w:val="20"/>
          <w:szCs w:val="20"/>
          <w:rtl/>
        </w:rPr>
        <w:t xml:space="preserve"> </w:t>
      </w:r>
      <w:r w:rsidRPr="004F1324">
        <w:rPr>
          <w:rFonts w:asciiTheme="majorBidi" w:hAnsiTheme="majorBidi" w:cstheme="majorBidi"/>
          <w:sz w:val="20"/>
          <w:szCs w:val="20"/>
          <w:rtl/>
        </w:rPr>
        <w:t>630</w:t>
      </w:r>
      <w:r w:rsidRPr="004F1324">
        <w:rPr>
          <w:rFonts w:asciiTheme="majorBidi" w:hAnsiTheme="majorBidi" w:cstheme="majorBidi" w:hint="cs"/>
          <w:sz w:val="20"/>
          <w:szCs w:val="20"/>
          <w:rtl/>
        </w:rPr>
        <w:t>).</w:t>
      </w:r>
    </w:p>
    <w:p w14:paraId="0E917A7A" w14:textId="05A4E927" w:rsidR="00D968DA" w:rsidRPr="004F1324" w:rsidRDefault="00D968DA">
      <w:pPr>
        <w:pStyle w:val="a7"/>
      </w:pPr>
    </w:p>
  </w:footnote>
  <w:footnote w:id="22">
    <w:p w14:paraId="13523B53" w14:textId="26A82D50" w:rsidR="00FB2DB7" w:rsidRPr="004F1324" w:rsidRDefault="00D32D64" w:rsidP="00FB2DB7">
      <w:pPr>
        <w:spacing w:after="0" w:line="240" w:lineRule="auto"/>
        <w:rPr>
          <w:rFonts w:ascii="David" w:hAnsi="David" w:cs="David"/>
          <w:sz w:val="20"/>
          <w:szCs w:val="20"/>
          <w:rtl/>
        </w:rPr>
      </w:pPr>
      <w:r w:rsidRPr="004F1324">
        <w:rPr>
          <w:rStyle w:val="a9"/>
          <w:sz w:val="20"/>
          <w:szCs w:val="20"/>
        </w:rPr>
        <w:footnoteRef/>
      </w:r>
      <w:r w:rsidRPr="004F1324">
        <w:rPr>
          <w:sz w:val="20"/>
          <w:szCs w:val="20"/>
          <w:rtl/>
        </w:rPr>
        <w:t xml:space="preserve"> </w:t>
      </w:r>
      <w:r w:rsidRPr="004F1324">
        <w:rPr>
          <w:rFonts w:asciiTheme="majorBidi" w:hAnsiTheme="majorBidi" w:cstheme="majorBidi"/>
          <w:sz w:val="20"/>
          <w:szCs w:val="20"/>
          <w:rtl/>
        </w:rPr>
        <w:t>מהרש"א.</w:t>
      </w:r>
      <w:r w:rsidR="00FB2DB7" w:rsidRPr="004F1324">
        <w:rPr>
          <w:rFonts w:asciiTheme="majorBidi" w:hAnsiTheme="majorBidi" w:cstheme="majorBidi"/>
          <w:sz w:val="20"/>
          <w:szCs w:val="20"/>
          <w:rtl/>
        </w:rPr>
        <w:t xml:space="preserve"> עוד כתב:</w:t>
      </w:r>
      <w:r w:rsidR="00FB2DB7" w:rsidRPr="004F1324">
        <w:rPr>
          <w:rFonts w:hint="cs"/>
          <w:sz w:val="20"/>
          <w:szCs w:val="20"/>
          <w:rtl/>
        </w:rPr>
        <w:t xml:space="preserve"> "</w:t>
      </w:r>
      <w:r w:rsidR="00FB2DB7" w:rsidRPr="004F1324">
        <w:rPr>
          <w:rFonts w:ascii="David" w:hAnsi="David" w:cs="David" w:hint="cs"/>
          <w:sz w:val="20"/>
          <w:szCs w:val="20"/>
          <w:rtl/>
        </w:rPr>
        <w:t>..</w:t>
      </w:r>
      <w:r w:rsidR="00FB2DB7" w:rsidRPr="004F1324">
        <w:rPr>
          <w:rFonts w:ascii="David" w:hAnsi="David" w:cs="David"/>
          <w:sz w:val="20"/>
          <w:szCs w:val="20"/>
          <w:rtl/>
        </w:rPr>
        <w:t>וכתב הרא"ם עוד בזה וליכא לאקשויי מיצחק</w:t>
      </w:r>
      <w:r w:rsidR="00FB2DB7" w:rsidRPr="004F1324">
        <w:rPr>
          <w:rFonts w:ascii="David" w:hAnsi="David" w:cs="David" w:hint="cs"/>
          <w:sz w:val="20"/>
          <w:szCs w:val="20"/>
          <w:rtl/>
        </w:rPr>
        <w:t xml:space="preserve">.. </w:t>
      </w:r>
      <w:r w:rsidR="00FB2DB7" w:rsidRPr="004F1324">
        <w:rPr>
          <w:rFonts w:ascii="David" w:hAnsi="David" w:cs="David"/>
          <w:sz w:val="20"/>
          <w:szCs w:val="20"/>
          <w:rtl/>
        </w:rPr>
        <w:t>משום דבאותו מקום שהיה עומד שם לא היה רעב כו' ומשום הכי התיר אלימלך לבניו לישא נשים במקום שהלך לשם כו' עיין שם</w:t>
      </w:r>
      <w:r w:rsidR="007F52D3">
        <w:rPr>
          <w:rFonts w:ascii="David" w:hAnsi="David" w:cs="David" w:hint="cs"/>
          <w:sz w:val="20"/>
          <w:szCs w:val="20"/>
          <w:rtl/>
        </w:rPr>
        <w:t>.</w:t>
      </w:r>
      <w:r w:rsidR="00FB2DB7" w:rsidRPr="004F1324">
        <w:rPr>
          <w:rFonts w:ascii="David" w:hAnsi="David" w:cs="David"/>
          <w:sz w:val="20"/>
          <w:szCs w:val="20"/>
          <w:rtl/>
        </w:rPr>
        <w:t xml:space="preserve"> והנראה דאין מקום לקושייתו מיצחק</w:t>
      </w:r>
      <w:r w:rsidR="007F52D3">
        <w:rPr>
          <w:rFonts w:ascii="David" w:hAnsi="David" w:cs="David" w:hint="cs"/>
          <w:sz w:val="20"/>
          <w:szCs w:val="20"/>
          <w:rtl/>
        </w:rPr>
        <w:t>,</w:t>
      </w:r>
      <w:r w:rsidR="00FB2DB7" w:rsidRPr="004F1324">
        <w:rPr>
          <w:rFonts w:ascii="David" w:hAnsi="David" w:cs="David"/>
          <w:sz w:val="20"/>
          <w:szCs w:val="20"/>
          <w:rtl/>
        </w:rPr>
        <w:t xml:space="preserve"> שהיה זה אחר שנפסק הרעב כדמוכחי קראי</w:t>
      </w:r>
      <w:r w:rsidR="007F52D3">
        <w:rPr>
          <w:rFonts w:ascii="David" w:hAnsi="David" w:cs="David" w:hint="cs"/>
          <w:sz w:val="20"/>
          <w:szCs w:val="20"/>
          <w:rtl/>
        </w:rPr>
        <w:t xml:space="preserve">, </w:t>
      </w:r>
      <w:r w:rsidR="00FB2DB7" w:rsidRPr="004F1324">
        <w:rPr>
          <w:rFonts w:ascii="David" w:hAnsi="David" w:cs="David"/>
          <w:sz w:val="20"/>
          <w:szCs w:val="20"/>
          <w:rtl/>
        </w:rPr>
        <w:t>דכתיב ויהי כי ארכו לו שם הימים גו' וירא והנה יצחק מצחק</w:t>
      </w:r>
      <w:r w:rsidR="007F52D3">
        <w:rPr>
          <w:rFonts w:ascii="David" w:hAnsi="David" w:cs="David" w:hint="cs"/>
          <w:sz w:val="20"/>
          <w:szCs w:val="20"/>
          <w:rtl/>
        </w:rPr>
        <w:t>.</w:t>
      </w:r>
      <w:r w:rsidR="00FB2DB7" w:rsidRPr="004F1324">
        <w:rPr>
          <w:rFonts w:ascii="David" w:hAnsi="David" w:cs="David"/>
          <w:sz w:val="20"/>
          <w:szCs w:val="20"/>
          <w:rtl/>
        </w:rPr>
        <w:t xml:space="preserve"> ומבני אלימלך לא קשה הא כבר ראינו בהם שלא חשו לאיסור זה שהרי הם פירשו עצמם מן הצבור והלכו מארץ ישראל לחוץ לארץ מקום שובע</w:t>
      </w:r>
      <w:r w:rsidR="007F52D3">
        <w:rPr>
          <w:rFonts w:ascii="David" w:hAnsi="David" w:cs="David" w:hint="cs"/>
          <w:sz w:val="20"/>
          <w:szCs w:val="20"/>
          <w:rtl/>
        </w:rPr>
        <w:t>.</w:t>
      </w:r>
      <w:r w:rsidR="00FB2DB7" w:rsidRPr="004F1324">
        <w:rPr>
          <w:rFonts w:ascii="David" w:hAnsi="David" w:cs="David"/>
          <w:sz w:val="20"/>
          <w:szCs w:val="20"/>
          <w:rtl/>
        </w:rPr>
        <w:t xml:space="preserve"> </w:t>
      </w:r>
      <w:r w:rsidR="00FB2DB7" w:rsidRPr="004F1324">
        <w:rPr>
          <w:rFonts w:ascii="David" w:hAnsi="David" w:cs="David"/>
          <w:b/>
          <w:bCs/>
          <w:sz w:val="20"/>
          <w:szCs w:val="20"/>
          <w:rtl/>
        </w:rPr>
        <w:t>וחזי מה עלתה בהן</w:t>
      </w:r>
      <w:r w:rsidR="00FB2DB7" w:rsidRPr="004F1324">
        <w:rPr>
          <w:rFonts w:ascii="David" w:hAnsi="David" w:cs="David"/>
          <w:sz w:val="20"/>
          <w:szCs w:val="20"/>
          <w:rtl/>
        </w:rPr>
        <w:t xml:space="preserve"> כדאמרינן פרק הספינה שלכך נענשו מפני שהלכו מא"י לחו"ל ברעב ופרשו עצמם מן הצבור</w:t>
      </w:r>
      <w:r w:rsidR="00FB2DB7" w:rsidRPr="004F1324">
        <w:rPr>
          <w:rFonts w:ascii="David" w:hAnsi="David" w:cs="David" w:hint="cs"/>
          <w:sz w:val="20"/>
          <w:szCs w:val="20"/>
          <w:rtl/>
        </w:rPr>
        <w:t>".</w:t>
      </w:r>
    </w:p>
    <w:p w14:paraId="61D2884D" w14:textId="54BA9B52" w:rsidR="00D32D64" w:rsidRPr="004F1324" w:rsidRDefault="00D32D64">
      <w:pPr>
        <w:pStyle w:val="a7"/>
      </w:pPr>
    </w:p>
  </w:footnote>
  <w:footnote w:id="23">
    <w:p w14:paraId="73E7521F" w14:textId="1E520705" w:rsidR="00D968DA" w:rsidRPr="004F1324" w:rsidRDefault="00D968DA" w:rsidP="00D968DA">
      <w:pPr>
        <w:pStyle w:val="a7"/>
        <w:rPr>
          <w:rtl/>
        </w:rPr>
      </w:pPr>
      <w:r w:rsidRPr="004F1324">
        <w:rPr>
          <w:rStyle w:val="a9"/>
        </w:rPr>
        <w:footnoteRef/>
      </w:r>
      <w:r w:rsidRPr="004F1324">
        <w:rPr>
          <w:rtl/>
        </w:rPr>
        <w:t xml:space="preserve"> </w:t>
      </w:r>
      <w:r w:rsidRPr="004F1324">
        <w:rPr>
          <w:rFonts w:asciiTheme="majorBidi" w:hAnsiTheme="majorBidi" w:cstheme="majorBidi"/>
          <w:rtl/>
        </w:rPr>
        <w:t xml:space="preserve">חברותא </w:t>
      </w:r>
      <w:r w:rsidRPr="004F1324">
        <w:rPr>
          <w:rFonts w:asciiTheme="majorBidi" w:hAnsiTheme="majorBidi" w:cstheme="majorBidi" w:hint="cs"/>
          <w:rtl/>
        </w:rPr>
        <w:t xml:space="preserve"> </w:t>
      </w:r>
      <w:r w:rsidRPr="004F1324">
        <w:rPr>
          <w:rFonts w:asciiTheme="majorBidi" w:hAnsiTheme="majorBidi" w:cstheme="majorBidi"/>
          <w:rtl/>
        </w:rPr>
        <w:t xml:space="preserve"> </w:t>
      </w:r>
      <w:r w:rsidRPr="004F1324">
        <w:rPr>
          <w:rFonts w:asciiTheme="majorBidi" w:hAnsiTheme="majorBidi" w:cstheme="majorBidi" w:hint="cs"/>
          <w:rtl/>
        </w:rPr>
        <w:t xml:space="preserve"> </w:t>
      </w:r>
      <w:r w:rsidRPr="004F1324">
        <w:rPr>
          <w:rFonts w:asciiTheme="majorBidi" w:hAnsiTheme="majorBidi" w:cstheme="majorBidi"/>
          <w:rtl/>
        </w:rPr>
        <w:t xml:space="preserve"> הערה </w:t>
      </w:r>
      <w:r w:rsidRPr="004F1324">
        <w:rPr>
          <w:rFonts w:asciiTheme="majorBidi" w:hAnsiTheme="majorBidi" w:cstheme="majorBidi" w:hint="cs"/>
          <w:rtl/>
        </w:rPr>
        <w:t xml:space="preserve"> </w:t>
      </w:r>
      <w:r w:rsidRPr="004F1324">
        <w:rPr>
          <w:rFonts w:asciiTheme="majorBidi" w:hAnsiTheme="majorBidi" w:cstheme="majorBidi"/>
          <w:rtl/>
        </w:rPr>
        <w:t>630</w:t>
      </w:r>
      <w:r w:rsidRPr="004F1324">
        <w:rPr>
          <w:rFonts w:asciiTheme="majorBidi" w:hAnsiTheme="majorBidi" w:cstheme="majorBidi" w:hint="cs"/>
          <w:rtl/>
        </w:rPr>
        <w:t>.</w:t>
      </w:r>
    </w:p>
  </w:footnote>
  <w:footnote w:id="24">
    <w:p w14:paraId="674EFBB3" w14:textId="7F8B7013" w:rsidR="0044011E" w:rsidRPr="004F1324" w:rsidRDefault="0044011E" w:rsidP="004F1324">
      <w:pPr>
        <w:pStyle w:val="a7"/>
        <w:spacing w:line="360" w:lineRule="auto"/>
        <w:rPr>
          <w:rFonts w:asciiTheme="majorBidi" w:hAnsiTheme="majorBidi" w:cstheme="majorBidi"/>
        </w:rPr>
      </w:pPr>
      <w:r w:rsidRPr="004F1324">
        <w:rPr>
          <w:rStyle w:val="a9"/>
          <w:rFonts w:asciiTheme="majorBidi" w:hAnsiTheme="majorBidi" w:cstheme="majorBidi"/>
        </w:rPr>
        <w:footnoteRef/>
      </w:r>
      <w:r w:rsidRPr="004F1324">
        <w:rPr>
          <w:rFonts w:asciiTheme="majorBidi" w:hAnsiTheme="majorBidi" w:cstheme="majorBidi"/>
          <w:rtl/>
        </w:rPr>
        <w:t xml:space="preserve"> רמב"ם הלכות אישות פרק טו הלכה ד.</w:t>
      </w:r>
    </w:p>
  </w:footnote>
  <w:footnote w:id="25">
    <w:p w14:paraId="5F5A4492" w14:textId="2F8C3EA3" w:rsidR="0044011E" w:rsidRDefault="0044011E" w:rsidP="00357476">
      <w:pPr>
        <w:spacing w:after="0" w:line="240" w:lineRule="auto"/>
        <w:rPr>
          <w:rFonts w:asciiTheme="majorBidi" w:hAnsiTheme="majorBidi" w:cstheme="majorBidi"/>
          <w:sz w:val="20"/>
          <w:szCs w:val="20"/>
          <w:rtl/>
        </w:rPr>
      </w:pPr>
      <w:r w:rsidRPr="004F1324">
        <w:rPr>
          <w:rStyle w:val="a9"/>
          <w:rFonts w:asciiTheme="majorBidi" w:hAnsiTheme="majorBidi" w:cstheme="majorBidi"/>
          <w:sz w:val="20"/>
          <w:szCs w:val="20"/>
        </w:rPr>
        <w:footnoteRef/>
      </w:r>
      <w:r w:rsidRPr="004F1324">
        <w:rPr>
          <w:rFonts w:asciiTheme="majorBidi" w:hAnsiTheme="majorBidi" w:cstheme="majorBidi"/>
          <w:sz w:val="20"/>
          <w:szCs w:val="20"/>
          <w:rtl/>
        </w:rPr>
        <w:t xml:space="preserve"> רבינו יהונתן מלוניל דף ב עמוד ב מדפי הרי"ף. כן הציע גם ב'בני שמואל</w:t>
      </w:r>
      <w:r w:rsidR="004F1324">
        <w:rPr>
          <w:rFonts w:asciiTheme="majorBidi" w:hAnsiTheme="majorBidi" w:cstheme="majorBidi" w:hint="cs"/>
          <w:sz w:val="20"/>
          <w:szCs w:val="20"/>
          <w:rtl/>
        </w:rPr>
        <w:t>'</w:t>
      </w:r>
      <w:r w:rsidRPr="004F1324">
        <w:rPr>
          <w:rFonts w:asciiTheme="majorBidi" w:hAnsiTheme="majorBidi" w:cstheme="majorBidi"/>
          <w:sz w:val="20"/>
          <w:szCs w:val="20"/>
          <w:rtl/>
        </w:rPr>
        <w:t xml:space="preserve"> בדעת התוספות</w:t>
      </w:r>
      <w:r w:rsidR="00357476">
        <w:rPr>
          <w:rFonts w:asciiTheme="majorBidi" w:hAnsiTheme="majorBidi" w:cstheme="majorBidi" w:hint="cs"/>
          <w:sz w:val="20"/>
          <w:szCs w:val="20"/>
          <w:rtl/>
        </w:rPr>
        <w:t>, ו</w:t>
      </w:r>
      <w:r w:rsidR="00357476">
        <w:rPr>
          <w:rFonts w:asciiTheme="majorBidi" w:hAnsiTheme="majorBidi" w:cstheme="majorBidi" w:hint="cs"/>
          <w:rtl/>
        </w:rPr>
        <w:t>הנצי"ב בדעת בעל השאלתות (העמק שאלה, שאילתא לב, ד).</w:t>
      </w:r>
    </w:p>
    <w:p w14:paraId="324BAE2F" w14:textId="77777777" w:rsidR="00357476" w:rsidRPr="004F1324" w:rsidRDefault="00357476" w:rsidP="00357476">
      <w:pPr>
        <w:spacing w:after="0" w:line="240" w:lineRule="auto"/>
        <w:rPr>
          <w:rFonts w:asciiTheme="majorBidi" w:hAnsiTheme="majorBidi" w:cstheme="majorBidi"/>
          <w:sz w:val="20"/>
          <w:szCs w:val="20"/>
          <w:rtl/>
        </w:rPr>
      </w:pPr>
    </w:p>
  </w:footnote>
  <w:footnote w:id="26">
    <w:p w14:paraId="2249C598" w14:textId="7ABB971C" w:rsidR="00D80ABD" w:rsidRPr="004F1324" w:rsidRDefault="00D80ABD" w:rsidP="004F1324">
      <w:pPr>
        <w:spacing w:after="0" w:line="360" w:lineRule="auto"/>
        <w:rPr>
          <w:rFonts w:asciiTheme="majorBidi" w:hAnsiTheme="majorBidi" w:cstheme="majorBidi"/>
          <w:sz w:val="20"/>
          <w:szCs w:val="20"/>
          <w:rtl/>
        </w:rPr>
      </w:pPr>
      <w:r w:rsidRPr="004F1324">
        <w:rPr>
          <w:rStyle w:val="a9"/>
          <w:rFonts w:asciiTheme="majorBidi" w:hAnsiTheme="majorBidi" w:cstheme="majorBidi"/>
          <w:sz w:val="20"/>
          <w:szCs w:val="20"/>
        </w:rPr>
        <w:footnoteRef/>
      </w:r>
      <w:r w:rsidRPr="004F1324">
        <w:rPr>
          <w:rFonts w:asciiTheme="majorBidi" w:hAnsiTheme="majorBidi" w:cstheme="majorBidi"/>
          <w:sz w:val="20"/>
          <w:szCs w:val="20"/>
          <w:rtl/>
        </w:rPr>
        <w:t xml:space="preserve"> תלמוד ירושלמי מסכת תענית פרק א הלכה ו</w:t>
      </w:r>
      <w:r w:rsidR="004F1324">
        <w:rPr>
          <w:rFonts w:asciiTheme="majorBidi" w:hAnsiTheme="majorBidi" w:cstheme="majorBidi" w:hint="cs"/>
          <w:sz w:val="20"/>
          <w:szCs w:val="20"/>
          <w:rtl/>
        </w:rPr>
        <w:t>.</w:t>
      </w:r>
    </w:p>
  </w:footnote>
  <w:footnote w:id="27">
    <w:p w14:paraId="19D0EE56" w14:textId="37D66E09" w:rsidR="00D80ABD" w:rsidRPr="004F1324" w:rsidRDefault="00D80ABD" w:rsidP="004F1324">
      <w:pPr>
        <w:spacing w:after="0" w:line="360" w:lineRule="auto"/>
        <w:rPr>
          <w:rFonts w:asciiTheme="majorBidi" w:hAnsiTheme="majorBidi" w:cstheme="majorBidi"/>
          <w:sz w:val="20"/>
          <w:szCs w:val="20"/>
        </w:rPr>
      </w:pPr>
      <w:r w:rsidRPr="004F1324">
        <w:rPr>
          <w:rStyle w:val="a9"/>
          <w:rFonts w:asciiTheme="majorBidi" w:hAnsiTheme="majorBidi" w:cstheme="majorBidi"/>
          <w:sz w:val="20"/>
          <w:szCs w:val="20"/>
        </w:rPr>
        <w:footnoteRef/>
      </w:r>
      <w:r w:rsidRPr="004F1324">
        <w:rPr>
          <w:rFonts w:asciiTheme="majorBidi" w:hAnsiTheme="majorBidi" w:cstheme="majorBidi"/>
          <w:sz w:val="20"/>
          <w:szCs w:val="20"/>
          <w:rtl/>
        </w:rPr>
        <w:t xml:space="preserve"> קרבן העדה מסכת תענית פרק א הלכה ו.</w:t>
      </w:r>
    </w:p>
  </w:footnote>
  <w:footnote w:id="28">
    <w:p w14:paraId="7382B781" w14:textId="3E501B87" w:rsidR="00D80ABD" w:rsidRPr="004F1324" w:rsidRDefault="00D80ABD" w:rsidP="004F1324">
      <w:pPr>
        <w:pStyle w:val="a7"/>
        <w:spacing w:line="360" w:lineRule="auto"/>
        <w:rPr>
          <w:rFonts w:asciiTheme="majorBidi" w:hAnsiTheme="majorBidi" w:cstheme="majorBidi"/>
        </w:rPr>
      </w:pPr>
      <w:r w:rsidRPr="004F1324">
        <w:rPr>
          <w:rStyle w:val="a9"/>
          <w:rFonts w:asciiTheme="majorBidi" w:hAnsiTheme="majorBidi" w:cstheme="majorBidi"/>
        </w:rPr>
        <w:footnoteRef/>
      </w:r>
      <w:r w:rsidRPr="004F1324">
        <w:rPr>
          <w:rFonts w:asciiTheme="majorBidi" w:hAnsiTheme="majorBidi" w:cstheme="majorBidi"/>
          <w:rtl/>
        </w:rPr>
        <w:t xml:space="preserve"> בית יוסף אורח חיים סימן תקעד סעיף ד.</w:t>
      </w:r>
    </w:p>
  </w:footnote>
  <w:footnote w:id="29">
    <w:p w14:paraId="780EAC35" w14:textId="2F0213EB" w:rsidR="00D80ABD" w:rsidRPr="004F1324" w:rsidRDefault="00D80ABD" w:rsidP="004F1324">
      <w:pPr>
        <w:spacing w:after="0" w:line="360" w:lineRule="auto"/>
        <w:rPr>
          <w:rFonts w:asciiTheme="majorBidi" w:hAnsiTheme="majorBidi" w:cstheme="majorBidi"/>
          <w:sz w:val="20"/>
          <w:szCs w:val="20"/>
        </w:rPr>
      </w:pPr>
      <w:r w:rsidRPr="004F1324">
        <w:rPr>
          <w:rStyle w:val="a9"/>
          <w:rFonts w:asciiTheme="majorBidi" w:hAnsiTheme="majorBidi" w:cstheme="majorBidi"/>
          <w:sz w:val="20"/>
          <w:szCs w:val="20"/>
        </w:rPr>
        <w:footnoteRef/>
      </w:r>
      <w:r w:rsidRPr="004F1324">
        <w:rPr>
          <w:rFonts w:asciiTheme="majorBidi" w:hAnsiTheme="majorBidi" w:cstheme="majorBidi"/>
          <w:sz w:val="20"/>
          <w:szCs w:val="20"/>
          <w:rtl/>
        </w:rPr>
        <w:t xml:space="preserve"> רמב"ם הלכות תעניות פרק ג הלכה ח.</w:t>
      </w:r>
    </w:p>
  </w:footnote>
  <w:footnote w:id="30">
    <w:p w14:paraId="430F4656" w14:textId="4693CBE6" w:rsidR="00D80ABD" w:rsidRPr="004F1324" w:rsidRDefault="00D80ABD" w:rsidP="004F1324">
      <w:pPr>
        <w:spacing w:after="0" w:line="360" w:lineRule="auto"/>
        <w:rPr>
          <w:rFonts w:asciiTheme="majorBidi" w:hAnsiTheme="majorBidi" w:cstheme="majorBidi"/>
          <w:sz w:val="20"/>
          <w:szCs w:val="20"/>
        </w:rPr>
      </w:pPr>
      <w:r w:rsidRPr="004F1324">
        <w:rPr>
          <w:rStyle w:val="a9"/>
          <w:rFonts w:asciiTheme="majorBidi" w:hAnsiTheme="majorBidi" w:cstheme="majorBidi"/>
          <w:sz w:val="20"/>
          <w:szCs w:val="20"/>
        </w:rPr>
        <w:footnoteRef/>
      </w:r>
      <w:r w:rsidRPr="004F1324">
        <w:rPr>
          <w:rFonts w:asciiTheme="majorBidi" w:hAnsiTheme="majorBidi" w:cstheme="majorBidi"/>
          <w:sz w:val="20"/>
          <w:szCs w:val="20"/>
          <w:rtl/>
        </w:rPr>
        <w:t xml:space="preserve"> טור אורח חיים הלכות תענית סימן תקעד.</w:t>
      </w:r>
    </w:p>
  </w:footnote>
  <w:footnote w:id="31">
    <w:p w14:paraId="27A7D72E" w14:textId="569976C6" w:rsidR="00C131A1" w:rsidRPr="004F1324" w:rsidRDefault="00C131A1" w:rsidP="004F1324">
      <w:pPr>
        <w:spacing w:after="0" w:line="360" w:lineRule="auto"/>
        <w:rPr>
          <w:rFonts w:asciiTheme="majorBidi" w:hAnsiTheme="majorBidi" w:cstheme="majorBidi"/>
          <w:sz w:val="20"/>
          <w:szCs w:val="20"/>
        </w:rPr>
      </w:pPr>
      <w:r w:rsidRPr="004F1324">
        <w:rPr>
          <w:rStyle w:val="a9"/>
          <w:rFonts w:asciiTheme="majorBidi" w:hAnsiTheme="majorBidi" w:cstheme="majorBidi"/>
          <w:sz w:val="20"/>
          <w:szCs w:val="20"/>
        </w:rPr>
        <w:footnoteRef/>
      </w:r>
      <w:r w:rsidRPr="004F1324">
        <w:rPr>
          <w:rFonts w:asciiTheme="majorBidi" w:hAnsiTheme="majorBidi" w:cstheme="majorBidi"/>
          <w:sz w:val="20"/>
          <w:szCs w:val="20"/>
          <w:rtl/>
        </w:rPr>
        <w:t xml:space="preserve"> ט"ז אורח חיים סימן תקעד ס"ק ב.</w:t>
      </w:r>
      <w:r w:rsidR="00357476">
        <w:rPr>
          <w:rFonts w:asciiTheme="majorBidi" w:hAnsiTheme="majorBidi" w:cstheme="majorBidi" w:hint="cs"/>
          <w:sz w:val="20"/>
          <w:szCs w:val="20"/>
          <w:rtl/>
        </w:rPr>
        <w:t xml:space="preserve"> ובחיבורו על תורה 'דברי דוד' הקל אפילו למניעת איסור.</w:t>
      </w:r>
    </w:p>
  </w:footnote>
  <w:footnote w:id="32">
    <w:p w14:paraId="7B0AEC85" w14:textId="30DA6CFC" w:rsidR="00C131A1" w:rsidRPr="004F1324" w:rsidRDefault="00C131A1" w:rsidP="004F1324">
      <w:pPr>
        <w:spacing w:after="0" w:line="240" w:lineRule="auto"/>
        <w:rPr>
          <w:rFonts w:asciiTheme="majorBidi" w:hAnsiTheme="majorBidi" w:cstheme="majorBidi"/>
          <w:sz w:val="20"/>
          <w:szCs w:val="20"/>
        </w:rPr>
      </w:pPr>
      <w:r w:rsidRPr="004F1324">
        <w:rPr>
          <w:rStyle w:val="a9"/>
          <w:rFonts w:asciiTheme="majorBidi" w:hAnsiTheme="majorBidi" w:cstheme="majorBidi"/>
          <w:sz w:val="20"/>
          <w:szCs w:val="20"/>
        </w:rPr>
        <w:footnoteRef/>
      </w:r>
      <w:r w:rsidRPr="004F1324">
        <w:rPr>
          <w:rFonts w:asciiTheme="majorBidi" w:hAnsiTheme="majorBidi" w:cstheme="majorBidi"/>
          <w:sz w:val="20"/>
          <w:szCs w:val="20"/>
          <w:rtl/>
        </w:rPr>
        <w:t xml:space="preserve"> שערי תשובה סימן תקעד אות א.</w:t>
      </w:r>
      <w:r w:rsidR="006534B3" w:rsidRPr="004F1324">
        <w:rPr>
          <w:rFonts w:asciiTheme="majorBidi" w:hAnsiTheme="majorBidi" w:cstheme="majorBidi"/>
          <w:sz w:val="20"/>
          <w:szCs w:val="20"/>
          <w:rtl/>
        </w:rPr>
        <w:t xml:space="preserve"> הוא מקל גם באדם שקיים פריה ורביה ונשוי שנית ואשתו רוצה ילדים. ומביא שבברכי יוסף החמיר בזה.</w:t>
      </w:r>
    </w:p>
  </w:footnote>
  <w:footnote w:id="33">
    <w:p w14:paraId="4F4F81C9" w14:textId="1F769E6C" w:rsidR="00D80ABD" w:rsidRPr="004F1324" w:rsidRDefault="00D80ABD" w:rsidP="004F1324">
      <w:pPr>
        <w:spacing w:after="0" w:line="360" w:lineRule="auto"/>
        <w:rPr>
          <w:rFonts w:asciiTheme="majorBidi" w:hAnsiTheme="majorBidi" w:cstheme="majorBidi"/>
          <w:sz w:val="20"/>
          <w:szCs w:val="20"/>
          <w:rtl/>
        </w:rPr>
      </w:pPr>
      <w:r w:rsidRPr="004F1324">
        <w:rPr>
          <w:rStyle w:val="a9"/>
          <w:rFonts w:asciiTheme="majorBidi" w:hAnsiTheme="majorBidi" w:cstheme="majorBidi"/>
          <w:sz w:val="20"/>
          <w:szCs w:val="20"/>
        </w:rPr>
        <w:footnoteRef/>
      </w:r>
      <w:r w:rsidRPr="004F1324">
        <w:rPr>
          <w:rFonts w:asciiTheme="majorBidi" w:hAnsiTheme="majorBidi" w:cstheme="majorBidi"/>
          <w:sz w:val="20"/>
          <w:szCs w:val="20"/>
          <w:rtl/>
        </w:rPr>
        <w:t xml:space="preserve"> שולחן ערוך אורח חיים   סימן תקעד סעיף ד.</w:t>
      </w:r>
    </w:p>
  </w:footnote>
  <w:footnote w:id="34">
    <w:p w14:paraId="60314048" w14:textId="01B3299E" w:rsidR="00C131A1" w:rsidRDefault="00C131A1">
      <w:pPr>
        <w:pStyle w:val="a7"/>
        <w:rPr>
          <w:rtl/>
        </w:rPr>
      </w:pPr>
      <w:r w:rsidRPr="004F1324">
        <w:rPr>
          <w:rStyle w:val="a9"/>
        </w:rPr>
        <w:footnoteRef/>
      </w:r>
      <w:r w:rsidRPr="004F1324">
        <w:rPr>
          <w:rtl/>
        </w:rPr>
        <w:t xml:space="preserve"> </w:t>
      </w:r>
      <w:r w:rsidRPr="004F1324">
        <w:rPr>
          <w:rFonts w:asciiTheme="majorBidi" w:hAnsiTheme="majorBidi" w:cstheme="majorBidi"/>
          <w:rtl/>
        </w:rPr>
        <w:t>מגן אברהם סימן תקעד ס"ק ה</w:t>
      </w:r>
      <w:r w:rsidRPr="004F1324">
        <w:rPr>
          <w:rFonts w:asciiTheme="majorBidi" w:hAnsiTheme="majorBidi" w:cstheme="majorBidi" w:hint="cs"/>
          <w:rtl/>
        </w:rPr>
        <w:t>.</w:t>
      </w:r>
    </w:p>
    <w:p w14:paraId="515031A5" w14:textId="77777777" w:rsidR="004F1324" w:rsidRPr="004F1324" w:rsidRDefault="004F1324">
      <w:pPr>
        <w:pStyle w:val="a7"/>
      </w:pPr>
    </w:p>
  </w:footnote>
  <w:footnote w:id="35">
    <w:p w14:paraId="35E31E18" w14:textId="12A1EEE6" w:rsidR="006534B3" w:rsidRPr="0097670A" w:rsidRDefault="006534B3" w:rsidP="004F1324">
      <w:pPr>
        <w:spacing w:after="0" w:line="240" w:lineRule="auto"/>
        <w:rPr>
          <w:rFonts w:asciiTheme="majorBidi" w:hAnsiTheme="majorBidi" w:cstheme="majorBidi"/>
          <w:sz w:val="20"/>
          <w:szCs w:val="20"/>
          <w:rtl/>
        </w:rPr>
      </w:pPr>
      <w:r w:rsidRPr="004F1324">
        <w:rPr>
          <w:rStyle w:val="a9"/>
          <w:rFonts w:ascii="David" w:hAnsi="David" w:cs="David"/>
          <w:sz w:val="20"/>
          <w:szCs w:val="20"/>
        </w:rPr>
        <w:footnoteRef/>
      </w:r>
      <w:r w:rsidRPr="004F1324">
        <w:rPr>
          <w:rFonts w:ascii="David" w:hAnsi="David" w:cs="David"/>
          <w:sz w:val="20"/>
          <w:szCs w:val="20"/>
          <w:rtl/>
        </w:rPr>
        <w:t xml:space="preserve"> "אף שבגמרא נקט לשון "אסור", אין זה איסור גמור, כפי שמצינו לשון "אסור לאדם שילוה מעותיו בלא עדים" </w:t>
      </w:r>
      <w:r w:rsidRPr="004F1324">
        <w:rPr>
          <w:rFonts w:asciiTheme="majorBidi" w:hAnsiTheme="majorBidi" w:cstheme="majorBidi"/>
          <w:sz w:val="16"/>
          <w:szCs w:val="16"/>
          <w:rtl/>
        </w:rPr>
        <w:t>[בבא מציעא עה ב],</w:t>
      </w:r>
      <w:r w:rsidRPr="004F1324">
        <w:rPr>
          <w:rFonts w:ascii="David" w:hAnsi="David" w:cs="David"/>
          <w:sz w:val="20"/>
          <w:szCs w:val="20"/>
          <w:rtl/>
        </w:rPr>
        <w:t xml:space="preserve"> אף שאין זה איסור, אלא עצה טובה</w:t>
      </w:r>
      <w:r w:rsidR="004F1324">
        <w:rPr>
          <w:rFonts w:ascii="David" w:hAnsi="David" w:cs="David" w:hint="cs"/>
          <w:sz w:val="20"/>
          <w:szCs w:val="20"/>
          <w:rtl/>
        </w:rPr>
        <w:t>"</w:t>
      </w:r>
      <w:r w:rsidRPr="004F1324">
        <w:rPr>
          <w:rFonts w:ascii="David" w:hAnsi="David" w:cs="David"/>
          <w:sz w:val="20"/>
          <w:szCs w:val="20"/>
          <w:rtl/>
        </w:rPr>
        <w:t xml:space="preserve">. </w:t>
      </w:r>
      <w:r w:rsidR="004F1324">
        <w:rPr>
          <w:rFonts w:ascii="David" w:hAnsi="David" w:cs="David" w:hint="cs"/>
          <w:sz w:val="20"/>
          <w:szCs w:val="20"/>
          <w:rtl/>
        </w:rPr>
        <w:t>(</w:t>
      </w:r>
      <w:r w:rsidRPr="004F1324">
        <w:rPr>
          <w:rFonts w:asciiTheme="majorBidi" w:hAnsiTheme="majorBidi" w:cstheme="majorBidi"/>
          <w:sz w:val="20"/>
          <w:szCs w:val="20"/>
          <w:rtl/>
        </w:rPr>
        <w:t>עין זוכר להחיד"א</w:t>
      </w:r>
      <w:r w:rsidRPr="00AF3AA6">
        <w:rPr>
          <w:rFonts w:asciiTheme="majorBidi" w:hAnsiTheme="majorBidi" w:cstheme="majorBidi"/>
          <w:sz w:val="20"/>
          <w:szCs w:val="20"/>
          <w:rtl/>
        </w:rPr>
        <w:t>]</w:t>
      </w:r>
      <w:r w:rsidR="004F1324" w:rsidRPr="00AF3AA6">
        <w:rPr>
          <w:rFonts w:asciiTheme="majorBidi" w:hAnsiTheme="majorBidi" w:cstheme="majorBidi"/>
          <w:sz w:val="20"/>
          <w:szCs w:val="20"/>
          <w:rtl/>
        </w:rPr>
        <w:t>,</w:t>
      </w:r>
      <w:r w:rsidRPr="00AF3AA6">
        <w:rPr>
          <w:rFonts w:asciiTheme="majorBidi" w:hAnsiTheme="majorBidi" w:cstheme="majorBidi"/>
          <w:sz w:val="20"/>
          <w:szCs w:val="20"/>
          <w:rtl/>
        </w:rPr>
        <w:t>(חברותא הערה  630).</w:t>
      </w:r>
      <w:r w:rsidRPr="004F1324">
        <w:rPr>
          <w:rFonts w:ascii="David" w:hAnsi="David" w:cs="David"/>
          <w:sz w:val="20"/>
          <w:szCs w:val="20"/>
          <w:rtl/>
        </w:rPr>
        <w:t xml:space="preserve"> </w:t>
      </w:r>
      <w:r w:rsidRPr="0097670A">
        <w:rPr>
          <w:rFonts w:asciiTheme="majorBidi" w:hAnsiTheme="majorBidi" w:cstheme="majorBidi"/>
          <w:sz w:val="20"/>
          <w:szCs w:val="20"/>
          <w:rtl/>
        </w:rPr>
        <w:t xml:space="preserve">היסוד לומר שהיא מידת חסידות הוא מדברי התוספות, אמנם </w:t>
      </w:r>
      <w:r w:rsidR="0097670A">
        <w:rPr>
          <w:rFonts w:asciiTheme="majorBidi" w:hAnsiTheme="majorBidi" w:cstheme="majorBidi" w:hint="cs"/>
          <w:sz w:val="20"/>
          <w:szCs w:val="20"/>
          <w:rtl/>
        </w:rPr>
        <w:t xml:space="preserve">כאמור, </w:t>
      </w:r>
      <w:r w:rsidRPr="0097670A">
        <w:rPr>
          <w:rFonts w:asciiTheme="majorBidi" w:hAnsiTheme="majorBidi" w:cstheme="majorBidi"/>
          <w:sz w:val="20"/>
          <w:szCs w:val="20"/>
          <w:rtl/>
        </w:rPr>
        <w:t>השפת אמת צמצם זאת לזמן שקודם מתן תורה.</w:t>
      </w:r>
    </w:p>
    <w:p w14:paraId="24C18930" w14:textId="65064F1D" w:rsidR="006534B3" w:rsidRPr="0097670A" w:rsidRDefault="006534B3">
      <w:pPr>
        <w:pStyle w:val="a7"/>
        <w:rPr>
          <w:rFonts w:asciiTheme="majorBidi" w:hAnsiTheme="majorBidi" w:cstheme="majorBidi"/>
        </w:rPr>
      </w:pPr>
    </w:p>
  </w:footnote>
  <w:footnote w:id="36">
    <w:p w14:paraId="2F7BA172" w14:textId="58228855" w:rsidR="006534B3" w:rsidRPr="00772011" w:rsidRDefault="006534B3" w:rsidP="00772011">
      <w:pPr>
        <w:spacing w:after="0" w:line="360" w:lineRule="auto"/>
        <w:rPr>
          <w:rFonts w:asciiTheme="majorBidi" w:hAnsiTheme="majorBidi" w:cstheme="majorBidi"/>
          <w:sz w:val="20"/>
          <w:szCs w:val="20"/>
        </w:rPr>
      </w:pPr>
      <w:r w:rsidRPr="00772011">
        <w:rPr>
          <w:rStyle w:val="a9"/>
          <w:rFonts w:asciiTheme="majorBidi" w:hAnsiTheme="majorBidi" w:cstheme="majorBidi"/>
          <w:sz w:val="20"/>
          <w:szCs w:val="20"/>
        </w:rPr>
        <w:footnoteRef/>
      </w:r>
      <w:r w:rsidRPr="00772011">
        <w:rPr>
          <w:rFonts w:asciiTheme="majorBidi" w:hAnsiTheme="majorBidi" w:cstheme="majorBidi"/>
          <w:sz w:val="20"/>
          <w:szCs w:val="20"/>
          <w:rtl/>
        </w:rPr>
        <w:t xml:space="preserve"> ערוך השולחן אורח חיים סימן תקעד סעיף ד.</w:t>
      </w:r>
    </w:p>
  </w:footnote>
  <w:footnote w:id="37">
    <w:p w14:paraId="70AD01D6" w14:textId="009AD394" w:rsidR="006534B3" w:rsidRPr="00772011" w:rsidRDefault="006534B3" w:rsidP="00772011">
      <w:pPr>
        <w:spacing w:after="0" w:line="360" w:lineRule="auto"/>
        <w:rPr>
          <w:rFonts w:asciiTheme="majorBidi" w:hAnsiTheme="majorBidi" w:cstheme="majorBidi"/>
          <w:sz w:val="20"/>
          <w:szCs w:val="20"/>
        </w:rPr>
      </w:pPr>
      <w:r w:rsidRPr="00772011">
        <w:rPr>
          <w:rStyle w:val="a9"/>
          <w:rFonts w:asciiTheme="majorBidi" w:hAnsiTheme="majorBidi" w:cstheme="majorBidi"/>
          <w:sz w:val="20"/>
          <w:szCs w:val="20"/>
        </w:rPr>
        <w:footnoteRef/>
      </w:r>
      <w:r w:rsidRPr="00772011">
        <w:rPr>
          <w:rFonts w:asciiTheme="majorBidi" w:hAnsiTheme="majorBidi" w:cstheme="majorBidi"/>
          <w:sz w:val="20"/>
          <w:szCs w:val="20"/>
          <w:rtl/>
        </w:rPr>
        <w:t xml:space="preserve"> ר' עובדיה מברטנורא (עמר נקא) בראשית פרק מא.</w:t>
      </w:r>
    </w:p>
  </w:footnote>
  <w:footnote w:id="38">
    <w:p w14:paraId="6BED1EE3" w14:textId="5A787019" w:rsidR="006534B3" w:rsidRPr="0097670A" w:rsidRDefault="006534B3" w:rsidP="0097670A">
      <w:pPr>
        <w:spacing w:after="0" w:line="360" w:lineRule="auto"/>
        <w:rPr>
          <w:rFonts w:asciiTheme="majorBidi" w:hAnsiTheme="majorBidi" w:cstheme="majorBidi"/>
          <w:sz w:val="20"/>
          <w:szCs w:val="20"/>
        </w:rPr>
      </w:pPr>
      <w:r w:rsidRPr="00772011">
        <w:rPr>
          <w:rStyle w:val="a9"/>
          <w:rFonts w:asciiTheme="majorBidi" w:hAnsiTheme="majorBidi" w:cstheme="majorBidi"/>
          <w:sz w:val="20"/>
          <w:szCs w:val="20"/>
        </w:rPr>
        <w:footnoteRef/>
      </w:r>
      <w:r w:rsidRPr="00772011">
        <w:rPr>
          <w:rFonts w:asciiTheme="majorBidi" w:hAnsiTheme="majorBidi" w:cstheme="majorBidi"/>
          <w:sz w:val="20"/>
          <w:szCs w:val="20"/>
          <w:rtl/>
        </w:rPr>
        <w:t xml:space="preserve"> משנה ברורה סימן תקעד ס"ק יב</w:t>
      </w:r>
      <w:r w:rsidR="0097670A">
        <w:rPr>
          <w:rFonts w:asciiTheme="majorBidi" w:hAnsiTheme="majorBidi" w:cstheme="majorBidi" w:hint="cs"/>
          <w:sz w:val="20"/>
          <w:szCs w:val="20"/>
          <w:rtl/>
        </w:rPr>
        <w:t>.</w:t>
      </w:r>
    </w:p>
  </w:footnote>
  <w:footnote w:id="39">
    <w:p w14:paraId="47CFB960" w14:textId="7D92660D" w:rsidR="0097670A" w:rsidRPr="0097670A" w:rsidRDefault="0097670A" w:rsidP="0097670A">
      <w:pPr>
        <w:pStyle w:val="a7"/>
        <w:spacing w:line="360" w:lineRule="auto"/>
        <w:rPr>
          <w:rFonts w:asciiTheme="majorBidi" w:hAnsiTheme="majorBidi" w:cstheme="majorBidi"/>
        </w:rPr>
      </w:pPr>
      <w:r w:rsidRPr="0097670A">
        <w:rPr>
          <w:rStyle w:val="a9"/>
          <w:rFonts w:asciiTheme="majorBidi" w:hAnsiTheme="majorBidi" w:cstheme="majorBidi"/>
        </w:rPr>
        <w:footnoteRef/>
      </w:r>
      <w:r w:rsidRPr="0097670A">
        <w:rPr>
          <w:rFonts w:asciiTheme="majorBidi" w:hAnsiTheme="majorBidi" w:cstheme="majorBidi"/>
          <w:rtl/>
        </w:rPr>
        <w:t xml:space="preserve"> בסתר רעם, אסתר פרבשטיין עמודים 281-282.</w:t>
      </w:r>
    </w:p>
  </w:footnote>
  <w:footnote w:id="40">
    <w:p w14:paraId="2925E1B2" w14:textId="486F50BA" w:rsidR="0097670A" w:rsidRPr="0097670A" w:rsidRDefault="0097670A" w:rsidP="0097670A">
      <w:pPr>
        <w:pStyle w:val="a7"/>
        <w:spacing w:line="360" w:lineRule="auto"/>
        <w:rPr>
          <w:rFonts w:asciiTheme="majorBidi" w:hAnsiTheme="majorBidi" w:cstheme="majorBidi"/>
        </w:rPr>
      </w:pPr>
      <w:r w:rsidRPr="0097670A">
        <w:rPr>
          <w:rStyle w:val="a9"/>
          <w:rFonts w:asciiTheme="majorBidi" w:hAnsiTheme="majorBidi" w:cstheme="majorBidi"/>
        </w:rPr>
        <w:footnoteRef/>
      </w:r>
      <w:r w:rsidRPr="0097670A">
        <w:rPr>
          <w:rFonts w:asciiTheme="majorBidi" w:hAnsiTheme="majorBidi" w:cstheme="majorBidi"/>
          <w:rtl/>
        </w:rPr>
        <w:t xml:space="preserve"> עלי מרורות עמוד 232.</w:t>
      </w:r>
    </w:p>
  </w:footnote>
  <w:footnote w:id="41">
    <w:p w14:paraId="604BB9BD" w14:textId="3F69BC84" w:rsidR="0097670A" w:rsidRPr="0097670A" w:rsidRDefault="0097670A" w:rsidP="006D1E64">
      <w:pPr>
        <w:pStyle w:val="a7"/>
        <w:spacing w:line="360" w:lineRule="auto"/>
        <w:rPr>
          <w:rFonts w:asciiTheme="majorBidi" w:hAnsiTheme="majorBidi" w:cstheme="majorBidi"/>
        </w:rPr>
      </w:pPr>
      <w:r w:rsidRPr="0097670A">
        <w:rPr>
          <w:rStyle w:val="a9"/>
          <w:rFonts w:asciiTheme="majorBidi" w:hAnsiTheme="majorBidi" w:cstheme="majorBidi"/>
        </w:rPr>
        <w:footnoteRef/>
      </w:r>
      <w:r w:rsidRPr="0097670A">
        <w:rPr>
          <w:rFonts w:asciiTheme="majorBidi" w:hAnsiTheme="majorBidi" w:cstheme="majorBidi"/>
          <w:rtl/>
        </w:rPr>
        <w:t xml:space="preserve"> הראשונה.</w:t>
      </w:r>
    </w:p>
  </w:footnote>
  <w:footnote w:id="42">
    <w:p w14:paraId="5C4EA8C6" w14:textId="3A48B46E" w:rsidR="0097670A" w:rsidRPr="0097670A" w:rsidRDefault="0097670A" w:rsidP="006D1E64">
      <w:pPr>
        <w:pStyle w:val="a7"/>
        <w:spacing w:line="360" w:lineRule="auto"/>
        <w:rPr>
          <w:rFonts w:asciiTheme="majorBidi" w:hAnsiTheme="majorBidi" w:cstheme="majorBidi"/>
        </w:rPr>
      </w:pPr>
      <w:r w:rsidRPr="0097670A">
        <w:rPr>
          <w:rStyle w:val="a9"/>
          <w:rFonts w:asciiTheme="majorBidi" w:hAnsiTheme="majorBidi" w:cstheme="majorBidi"/>
        </w:rPr>
        <w:footnoteRef/>
      </w:r>
      <w:r w:rsidRPr="0097670A">
        <w:rPr>
          <w:rFonts w:asciiTheme="majorBidi" w:hAnsiTheme="majorBidi" w:cstheme="majorBidi"/>
          <w:rtl/>
        </w:rPr>
        <w:t xml:space="preserve"> דרכי חיים ושלום סימן תרנ"ו.</w:t>
      </w:r>
      <w:r w:rsidR="00551A12">
        <w:rPr>
          <w:rFonts w:asciiTheme="majorBidi" w:hAnsiTheme="majorBidi" w:cstheme="majorBidi" w:hint="cs"/>
          <w:rtl/>
        </w:rPr>
        <w:t xml:space="preserve"> </w:t>
      </w:r>
    </w:p>
  </w:footnote>
  <w:footnote w:id="43">
    <w:p w14:paraId="29A41B6F" w14:textId="24878FEB" w:rsidR="006D1E64" w:rsidRPr="006D1E64" w:rsidRDefault="006D1E64" w:rsidP="006D1E64">
      <w:pPr>
        <w:pStyle w:val="a7"/>
        <w:spacing w:line="360" w:lineRule="auto"/>
        <w:rPr>
          <w:rFonts w:asciiTheme="majorBidi" w:hAnsiTheme="majorBidi" w:cstheme="majorBidi"/>
        </w:rPr>
      </w:pPr>
      <w:r w:rsidRPr="006D1E64">
        <w:rPr>
          <w:rStyle w:val="a9"/>
          <w:rFonts w:asciiTheme="majorBidi" w:hAnsiTheme="majorBidi" w:cstheme="majorBidi"/>
        </w:rPr>
        <w:footnoteRef/>
      </w:r>
      <w:r w:rsidRPr="006D1E64">
        <w:rPr>
          <w:rFonts w:asciiTheme="majorBidi" w:hAnsiTheme="majorBidi" w:cstheme="majorBidi"/>
          <w:rtl/>
        </w:rPr>
        <w:t xml:space="preserve"> בסתר רעם עמוד 284. הוא התנגד גם לנישואין מחשש קוש</w:t>
      </w:r>
      <w:r w:rsidR="00357476">
        <w:rPr>
          <w:rFonts w:asciiTheme="majorBidi" w:hAnsiTheme="majorBidi" w:cstheme="majorBidi" w:hint="cs"/>
          <w:rtl/>
        </w:rPr>
        <w:t>י</w:t>
      </w:r>
      <w:r w:rsidRPr="006D1E64">
        <w:rPr>
          <w:rFonts w:asciiTheme="majorBidi" w:hAnsiTheme="majorBidi" w:cstheme="majorBidi"/>
          <w:rtl/>
        </w:rPr>
        <w:t xml:space="preserve"> בטהרה, סכנה לאמהות, עיגון והפקרות</w:t>
      </w:r>
      <w:r>
        <w:rPr>
          <w:rFonts w:asciiTheme="majorBidi" w:hAnsiTheme="majorBidi" w:cstheme="majorBidi" w:hint="cs"/>
          <w:rtl/>
        </w:rPr>
        <w:t xml:space="preserve"> (</w:t>
      </w:r>
      <w:r w:rsidRPr="006D1E64">
        <w:rPr>
          <w:rFonts w:asciiTheme="majorBidi" w:hAnsiTheme="majorBidi" w:cstheme="majorBidi"/>
          <w:rtl/>
        </w:rPr>
        <w:t>שם עמוד 280).</w:t>
      </w:r>
    </w:p>
  </w:footnote>
  <w:footnote w:id="44">
    <w:p w14:paraId="0942D7FB" w14:textId="21C9F337" w:rsidR="00551A12" w:rsidRDefault="00551A12">
      <w:pPr>
        <w:pStyle w:val="a7"/>
        <w:rPr>
          <w:rtl/>
        </w:rPr>
      </w:pPr>
      <w:r>
        <w:rPr>
          <w:rStyle w:val="a9"/>
        </w:rPr>
        <w:footnoteRef/>
      </w:r>
      <w:r>
        <w:rPr>
          <w:rtl/>
        </w:rPr>
        <w:t xml:space="preserve"> </w:t>
      </w:r>
      <w:r>
        <w:rPr>
          <w:rFonts w:asciiTheme="majorBidi" w:hAnsiTheme="majorBidi" w:cstheme="majorBidi" w:hint="cs"/>
          <w:rtl/>
        </w:rPr>
        <w:t>בארץ ישראל המצב היה קשה במלחמה העולמית הראשונה, וטוב בהרבה בשניה.</w:t>
      </w:r>
    </w:p>
  </w:footnote>
  <w:footnote w:id="45">
    <w:p w14:paraId="166A2803" w14:textId="317391F8" w:rsidR="00551A12" w:rsidRDefault="00551A12">
      <w:pPr>
        <w:pStyle w:val="a7"/>
      </w:pPr>
      <w:r>
        <w:rPr>
          <w:rStyle w:val="a9"/>
        </w:rPr>
        <w:footnoteRef/>
      </w:r>
      <w:r>
        <w:rPr>
          <w:rtl/>
        </w:rPr>
        <w:t xml:space="preserve"> </w:t>
      </w:r>
      <w:hyperlink r:id="rId1" w:history="1">
        <w:r w:rsidRPr="00975782">
          <w:rPr>
            <w:rStyle w:val="Hyperlink"/>
          </w:rPr>
          <w:t>https://lib.cet.ac.il/pages/item.asp?item=16131</w:t>
        </w:r>
      </w:hyperlink>
    </w:p>
    <w:p w14:paraId="77720E4A" w14:textId="77777777" w:rsidR="00551A12" w:rsidRPr="00551A12" w:rsidRDefault="00551A12">
      <w:pPr>
        <w:pStyle w:val="a7"/>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05643771"/>
      <w:docPartObj>
        <w:docPartGallery w:val="Page Numbers (Top of Page)"/>
        <w:docPartUnique/>
      </w:docPartObj>
    </w:sdtPr>
    <w:sdtEndPr/>
    <w:sdtContent>
      <w:p w14:paraId="25CC296D" w14:textId="43D37171" w:rsidR="00675EAE" w:rsidRDefault="00675EAE">
        <w:pPr>
          <w:pStyle w:val="a3"/>
        </w:pPr>
        <w:r>
          <w:fldChar w:fldCharType="begin"/>
        </w:r>
        <w:r>
          <w:instrText>PAGE   \* MERGEFORMAT</w:instrText>
        </w:r>
        <w:r>
          <w:fldChar w:fldCharType="separate"/>
        </w:r>
        <w:r>
          <w:rPr>
            <w:rtl/>
            <w:lang w:val="he-IL"/>
          </w:rPr>
          <w:t>2</w:t>
        </w:r>
        <w:r>
          <w:fldChar w:fldCharType="end"/>
        </w:r>
      </w:p>
    </w:sdtContent>
  </w:sdt>
  <w:p w14:paraId="342C810B" w14:textId="77777777" w:rsidR="00675EAE" w:rsidRDefault="00675E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92AF2"/>
    <w:multiLevelType w:val="hybridMultilevel"/>
    <w:tmpl w:val="A0568E1A"/>
    <w:lvl w:ilvl="0" w:tplc="FD30AFD8">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06CD"/>
    <w:rsid w:val="00004172"/>
    <w:rsid w:val="00053E9D"/>
    <w:rsid w:val="00213157"/>
    <w:rsid w:val="00293330"/>
    <w:rsid w:val="00357476"/>
    <w:rsid w:val="003906CD"/>
    <w:rsid w:val="0044011E"/>
    <w:rsid w:val="004F1324"/>
    <w:rsid w:val="0053112A"/>
    <w:rsid w:val="00551A12"/>
    <w:rsid w:val="005A1E67"/>
    <w:rsid w:val="006534B3"/>
    <w:rsid w:val="00675EAE"/>
    <w:rsid w:val="00690F9C"/>
    <w:rsid w:val="006B2158"/>
    <w:rsid w:val="006D1E64"/>
    <w:rsid w:val="00770D72"/>
    <w:rsid w:val="00772011"/>
    <w:rsid w:val="007C72CC"/>
    <w:rsid w:val="007F52D3"/>
    <w:rsid w:val="00800E12"/>
    <w:rsid w:val="0085146D"/>
    <w:rsid w:val="00920D15"/>
    <w:rsid w:val="0093784F"/>
    <w:rsid w:val="0097670A"/>
    <w:rsid w:val="009A289D"/>
    <w:rsid w:val="00A82CF4"/>
    <w:rsid w:val="00AF3AA6"/>
    <w:rsid w:val="00B917EB"/>
    <w:rsid w:val="00BD6DC0"/>
    <w:rsid w:val="00C131A1"/>
    <w:rsid w:val="00C75E67"/>
    <w:rsid w:val="00C95C9F"/>
    <w:rsid w:val="00D32D64"/>
    <w:rsid w:val="00D80ABD"/>
    <w:rsid w:val="00D968DA"/>
    <w:rsid w:val="00DF77A5"/>
    <w:rsid w:val="00E65D26"/>
    <w:rsid w:val="00F1776E"/>
    <w:rsid w:val="00F41CE8"/>
    <w:rsid w:val="00FB2D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76E5"/>
  <w15:docId w15:val="{711601F2-3AEA-43B6-B195-F8CEBD9E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EAE"/>
    <w:pPr>
      <w:tabs>
        <w:tab w:val="center" w:pos="4153"/>
        <w:tab w:val="right" w:pos="8306"/>
      </w:tabs>
      <w:spacing w:after="0" w:line="240" w:lineRule="auto"/>
    </w:pPr>
  </w:style>
  <w:style w:type="character" w:customStyle="1" w:styleId="a4">
    <w:name w:val="כותרת עליונה תו"/>
    <w:basedOn w:val="a0"/>
    <w:link w:val="a3"/>
    <w:uiPriority w:val="99"/>
    <w:rsid w:val="00675EAE"/>
    <w:rPr>
      <w:noProof/>
    </w:rPr>
  </w:style>
  <w:style w:type="paragraph" w:styleId="a5">
    <w:name w:val="footer"/>
    <w:basedOn w:val="a"/>
    <w:link w:val="a6"/>
    <w:uiPriority w:val="99"/>
    <w:unhideWhenUsed/>
    <w:rsid w:val="00675EAE"/>
    <w:pPr>
      <w:tabs>
        <w:tab w:val="center" w:pos="4153"/>
        <w:tab w:val="right" w:pos="8306"/>
      </w:tabs>
      <w:spacing w:after="0" w:line="240" w:lineRule="auto"/>
    </w:pPr>
  </w:style>
  <w:style w:type="character" w:customStyle="1" w:styleId="a6">
    <w:name w:val="כותרת תחתונה תו"/>
    <w:basedOn w:val="a0"/>
    <w:link w:val="a5"/>
    <w:uiPriority w:val="99"/>
    <w:rsid w:val="00675EAE"/>
    <w:rPr>
      <w:noProof/>
    </w:rPr>
  </w:style>
  <w:style w:type="paragraph" w:styleId="a7">
    <w:name w:val="footnote text"/>
    <w:basedOn w:val="a"/>
    <w:link w:val="a8"/>
    <w:uiPriority w:val="99"/>
    <w:semiHidden/>
    <w:unhideWhenUsed/>
    <w:rsid w:val="00053E9D"/>
    <w:pPr>
      <w:spacing w:after="0" w:line="240" w:lineRule="auto"/>
    </w:pPr>
    <w:rPr>
      <w:sz w:val="20"/>
      <w:szCs w:val="20"/>
    </w:rPr>
  </w:style>
  <w:style w:type="character" w:customStyle="1" w:styleId="a8">
    <w:name w:val="טקסט הערת שוליים תו"/>
    <w:basedOn w:val="a0"/>
    <w:link w:val="a7"/>
    <w:uiPriority w:val="99"/>
    <w:semiHidden/>
    <w:rsid w:val="00053E9D"/>
    <w:rPr>
      <w:noProof/>
      <w:sz w:val="20"/>
      <w:szCs w:val="20"/>
    </w:rPr>
  </w:style>
  <w:style w:type="character" w:styleId="a9">
    <w:name w:val="footnote reference"/>
    <w:basedOn w:val="a0"/>
    <w:uiPriority w:val="99"/>
    <w:semiHidden/>
    <w:unhideWhenUsed/>
    <w:rsid w:val="00053E9D"/>
    <w:rPr>
      <w:vertAlign w:val="superscript"/>
    </w:rPr>
  </w:style>
  <w:style w:type="paragraph" w:styleId="aa">
    <w:name w:val="List Paragraph"/>
    <w:basedOn w:val="a"/>
    <w:uiPriority w:val="34"/>
    <w:qFormat/>
    <w:rsid w:val="00772011"/>
    <w:pPr>
      <w:ind w:left="720"/>
      <w:contextualSpacing/>
    </w:pPr>
  </w:style>
  <w:style w:type="character" w:styleId="Hyperlink">
    <w:name w:val="Hyperlink"/>
    <w:basedOn w:val="a0"/>
    <w:uiPriority w:val="99"/>
    <w:unhideWhenUsed/>
    <w:rsid w:val="00551A12"/>
    <w:rPr>
      <w:color w:val="0563C1" w:themeColor="hyperlink"/>
      <w:u w:val="single"/>
    </w:rPr>
  </w:style>
  <w:style w:type="character" w:styleId="ab">
    <w:name w:val="Unresolved Mention"/>
    <w:basedOn w:val="a0"/>
    <w:uiPriority w:val="99"/>
    <w:semiHidden/>
    <w:unhideWhenUsed/>
    <w:rsid w:val="00551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b.cet.ac.il/pages/item.asp?item=16131"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49AAC-4D8F-4D8C-BE7D-D9021F714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Pages>
  <Words>1413</Words>
  <Characters>7068</Characters>
  <Application>Microsoft Office Word</Application>
  <DocSecurity>0</DocSecurity>
  <Lines>58</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10</cp:revision>
  <dcterms:created xsi:type="dcterms:W3CDTF">2021-09-21T17:04:00Z</dcterms:created>
  <dcterms:modified xsi:type="dcterms:W3CDTF">2021-11-13T18:16:00Z</dcterms:modified>
</cp:coreProperties>
</file>